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D3E" w:rsidRDefault="00176D3E" w:rsidP="00176D3E">
      <w:pPr>
        <w:pStyle w:val="Title"/>
      </w:pPr>
      <w:r>
        <w:t>HERITAG</w:t>
      </w:r>
      <w:r>
        <w:rPr>
          <w:color w:val="FF1F35"/>
        </w:rPr>
        <w:t>E</w:t>
      </w:r>
      <w:r>
        <w:rPr>
          <w:color w:val="FF0000"/>
        </w:rPr>
        <w:t>-NEWS</w:t>
      </w:r>
      <w:r>
        <w:t>:</w:t>
      </w:r>
      <w:r>
        <w:rPr>
          <w:sz w:val="28"/>
          <w:szCs w:val="28"/>
        </w:rPr>
        <w:t xml:space="preserve"> </w:t>
      </w:r>
      <w:r>
        <w:rPr>
          <w:color w:val="2E75B6"/>
        </w:rPr>
        <w:t> April 2017</w:t>
      </w:r>
    </w:p>
    <w:p w:rsidR="00176D3E" w:rsidRDefault="00176D3E" w:rsidP="00176D3E">
      <w:pPr>
        <w:rPr>
          <w:rFonts w:ascii="Helv" w:hAnsi="Helv"/>
          <w:sz w:val="36"/>
          <w:szCs w:val="36"/>
        </w:rPr>
      </w:pPr>
      <w:r>
        <w:t> </w:t>
      </w:r>
    </w:p>
    <w:p w:rsidR="00176D3E" w:rsidRDefault="00176D3E" w:rsidP="00176D3E">
      <w:pPr>
        <w:pStyle w:val="NoSpacing"/>
        <w:rPr>
          <w:rStyle w:val="Strong"/>
        </w:rPr>
      </w:pPr>
      <w:r>
        <w:rPr>
          <w:rStyle w:val="Strong"/>
        </w:rPr>
        <w:t xml:space="preserve">HERITAGE-NEWS is a monthly bulletin covering news, stories and events from Tasmania’s historic heritage sector. It is produced by Heritage Tasmania and the Tasmanian Heritage Council. Feel free to forward this message to friends, families and colleagues; contribute an article, or provide us with your feedback. For more regular updates, visit the ‘What’s New’ section of our website at </w:t>
      </w:r>
      <w:hyperlink r:id="rId5" w:history="1">
        <w:r>
          <w:rPr>
            <w:rStyle w:val="Hyperlink"/>
            <w:b/>
            <w:bCs/>
            <w:color w:val="auto"/>
          </w:rPr>
          <w:t>www.heritage.tas.gov.au</w:t>
        </w:r>
      </w:hyperlink>
      <w:r>
        <w:rPr>
          <w:rStyle w:val="Strong"/>
        </w:rPr>
        <w:t xml:space="preserve">.  </w:t>
      </w:r>
    </w:p>
    <w:p w:rsidR="00176D3E" w:rsidRDefault="00176D3E" w:rsidP="00176D3E">
      <w:pPr>
        <w:pStyle w:val="Heading1"/>
        <w:rPr>
          <w:rFonts w:eastAsia="Times New Roman"/>
          <w:color w:val="2E75B6"/>
        </w:rPr>
      </w:pPr>
      <w:r>
        <w:rPr>
          <w:rFonts w:eastAsia="Times New Roman"/>
          <w:color w:val="2E75B6"/>
        </w:rPr>
        <w:t>Celebrating Cultural Heritage and Sustainable Tourism</w:t>
      </w:r>
    </w:p>
    <w:p w:rsidR="00176D3E" w:rsidRDefault="00176D3E" w:rsidP="00176D3E">
      <w:pPr>
        <w:pStyle w:val="NoSpacing"/>
      </w:pPr>
      <w:r>
        <w:rPr>
          <w:lang w:val="en"/>
        </w:rPr>
        <w:t>This year’s International Day for Monuments and Sites celebrated cultural heritage and sustainable tourism</w:t>
      </w:r>
      <w:r>
        <w:t xml:space="preserve">. Tasmanian is well-known for revitalising historic heritage places. For examples click </w:t>
      </w:r>
      <w:hyperlink r:id="rId6" w:history="1">
        <w:r>
          <w:rPr>
            <w:rStyle w:val="Hyperlink"/>
          </w:rPr>
          <w:t>here</w:t>
        </w:r>
      </w:hyperlink>
      <w:r>
        <w:t>.</w:t>
      </w:r>
    </w:p>
    <w:p w:rsidR="00176D3E" w:rsidRDefault="00176D3E" w:rsidP="00176D3E">
      <w:pPr>
        <w:pStyle w:val="Heading1"/>
        <w:rPr>
          <w:rFonts w:ascii="Calibri" w:eastAsia="Times New Roman" w:hAnsi="Calibri"/>
          <w:color w:val="auto"/>
          <w:sz w:val="24"/>
          <w:szCs w:val="24"/>
        </w:rPr>
      </w:pPr>
      <w:r>
        <w:rPr>
          <w:rFonts w:eastAsia="Times New Roman"/>
          <w:color w:val="2E75B6"/>
        </w:rPr>
        <w:t>Come Together: Building the Future, Keeping the Past</w:t>
      </w:r>
      <w:r>
        <w:rPr>
          <w:rFonts w:eastAsia="Times New Roman"/>
          <w:color w:val="2E75B6"/>
        </w:rPr>
        <w:br/>
      </w:r>
      <w:r>
        <w:rPr>
          <w:rFonts w:ascii="Calibri" w:eastAsia="Times New Roman" w:hAnsi="Calibri"/>
          <w:color w:val="auto"/>
          <w:sz w:val="24"/>
          <w:szCs w:val="24"/>
        </w:rPr>
        <w:t xml:space="preserve">The Tasmanian Heritage Council is proud to be supporting a workshop at this year’s Local Government Association of Tasmania’s Annual Conference to be held in Hobart on 26-28 July 2017. The workshop will focus on the connections, stories and history that is central to how we and visitors experience Tasmania. In this workshop, Susan Fayad, Coordinator Heritage and Cultural Landscapes, City of Ballarat, shares Ballarat’s long-term growth strategy that is guiding its future with an appreciation of the city’s history and identity. Discussions from the workshop will feed into work being completed by the Tasmanian Heritage Council to build a tool kit that local government and the community can use to tell the story of their own unique place in their own way, and generate new initiatives to support economic growth. More information on the Conference is available </w:t>
      </w:r>
      <w:hyperlink r:id="rId7" w:history="1">
        <w:r>
          <w:rPr>
            <w:rStyle w:val="Hyperlink"/>
            <w:rFonts w:ascii="Calibri" w:eastAsia="Times New Roman" w:hAnsi="Calibri"/>
            <w:sz w:val="24"/>
            <w:szCs w:val="24"/>
          </w:rPr>
          <w:t>here</w:t>
        </w:r>
      </w:hyperlink>
      <w:r>
        <w:rPr>
          <w:rFonts w:ascii="Calibri" w:eastAsia="Times New Roman" w:hAnsi="Calibri"/>
          <w:color w:val="auto"/>
          <w:sz w:val="24"/>
          <w:szCs w:val="24"/>
        </w:rPr>
        <w:t xml:space="preserve">. For those unable to attend, the Heritage Council will be hosting a second forum for planners and professionals working with Tasmania’s historic cultural heritage places. To register your interest email </w:t>
      </w:r>
      <w:hyperlink r:id="rId8" w:history="1">
        <w:r>
          <w:rPr>
            <w:rStyle w:val="Hyperlink"/>
            <w:rFonts w:ascii="Calibri" w:eastAsia="Times New Roman" w:hAnsi="Calibri"/>
            <w:sz w:val="24"/>
            <w:szCs w:val="24"/>
          </w:rPr>
          <w:t>enquiries@heritage.tas.gov.au</w:t>
        </w:r>
      </w:hyperlink>
      <w:r>
        <w:rPr>
          <w:rFonts w:ascii="Calibri" w:eastAsia="Times New Roman" w:hAnsi="Calibri"/>
          <w:color w:val="auto"/>
          <w:sz w:val="24"/>
          <w:szCs w:val="24"/>
        </w:rPr>
        <w:t xml:space="preserve"> .</w:t>
      </w:r>
    </w:p>
    <w:p w:rsidR="00176D3E" w:rsidRDefault="00176D3E" w:rsidP="00176D3E">
      <w:pPr>
        <w:pStyle w:val="Heading1"/>
        <w:rPr>
          <w:rFonts w:eastAsia="Times New Roman"/>
          <w:color w:val="2E75B6"/>
        </w:rPr>
      </w:pPr>
      <w:r>
        <w:rPr>
          <w:rFonts w:eastAsia="Times New Roman"/>
          <w:color w:val="2E75B6"/>
        </w:rPr>
        <w:t>Salamanca Arts Centre is Celebrating 40 Years</w:t>
      </w:r>
      <w:r>
        <w:rPr>
          <w:rFonts w:eastAsia="Times New Roman"/>
          <w:color w:val="2E75B6"/>
        </w:rPr>
        <w:br/>
      </w:r>
      <w:r>
        <w:rPr>
          <w:rFonts w:ascii="Calibri" w:eastAsia="Times New Roman" w:hAnsi="Calibri"/>
          <w:color w:val="auto"/>
          <w:sz w:val="24"/>
          <w:szCs w:val="24"/>
        </w:rPr>
        <w:t>As part of celebrating its 40</w:t>
      </w:r>
      <w:r>
        <w:rPr>
          <w:rFonts w:ascii="Calibri" w:eastAsia="Times New Roman" w:hAnsi="Calibri"/>
          <w:color w:val="auto"/>
          <w:sz w:val="24"/>
          <w:szCs w:val="24"/>
          <w:vertAlign w:val="superscript"/>
        </w:rPr>
        <w:t>th</w:t>
      </w:r>
      <w:r>
        <w:rPr>
          <w:rFonts w:ascii="Calibri" w:eastAsia="Times New Roman" w:hAnsi="Calibri"/>
          <w:color w:val="auto"/>
          <w:sz w:val="24"/>
          <w:szCs w:val="24"/>
        </w:rPr>
        <w:t xml:space="preserve"> anniversary, Salamanca Arts Centre is searching for memorabilia that showcases the tradition of vibrancy in Tasmania’s arts community. For details on how to contribute, click </w:t>
      </w:r>
      <w:hyperlink r:id="rId9" w:history="1">
        <w:r>
          <w:rPr>
            <w:rStyle w:val="Hyperlink"/>
            <w:rFonts w:ascii="Calibri" w:eastAsia="Times New Roman" w:hAnsi="Calibri"/>
            <w:sz w:val="24"/>
            <w:szCs w:val="24"/>
          </w:rPr>
          <w:t>here</w:t>
        </w:r>
      </w:hyperlink>
      <w:r>
        <w:rPr>
          <w:rFonts w:ascii="Calibri" w:eastAsia="Times New Roman" w:hAnsi="Calibri"/>
          <w:color w:val="auto"/>
          <w:sz w:val="24"/>
          <w:szCs w:val="24"/>
        </w:rPr>
        <w:t>.</w:t>
      </w:r>
    </w:p>
    <w:p w:rsidR="00176D3E" w:rsidRDefault="00176D3E" w:rsidP="00176D3E">
      <w:pPr>
        <w:pStyle w:val="Heading1"/>
        <w:rPr>
          <w:rFonts w:eastAsia="Times New Roman"/>
          <w:color w:val="2E75B6"/>
        </w:rPr>
      </w:pPr>
      <w:r>
        <w:rPr>
          <w:rFonts w:eastAsia="Times New Roman"/>
          <w:color w:val="2E75B6"/>
        </w:rPr>
        <w:t>May is Heritage Festival Month</w:t>
      </w:r>
    </w:p>
    <w:p w:rsidR="00176D3E" w:rsidRDefault="00176D3E" w:rsidP="00176D3E">
      <w:pPr>
        <w:pStyle w:val="NoSpacing"/>
      </w:pPr>
      <w:r>
        <w:rPr>
          <w:lang w:val="en"/>
        </w:rPr>
        <w:t xml:space="preserve">Each year Tasmania’s Heritage Festival provides the perfect opportunity to discover, learn and reconnect with the events and people that have shaped our island lifestyle. Thanks to the many generous owners, </w:t>
      </w:r>
      <w:proofErr w:type="spellStart"/>
      <w:r>
        <w:rPr>
          <w:lang w:val="en"/>
        </w:rPr>
        <w:t>organisations</w:t>
      </w:r>
      <w:proofErr w:type="spellEnd"/>
      <w:r>
        <w:rPr>
          <w:lang w:val="en"/>
        </w:rPr>
        <w:t xml:space="preserve"> and volunteers, there is a range of options for exploring the familiar and the new. </w:t>
      </w:r>
      <w:r>
        <w:rPr>
          <w:rFonts w:ascii="Arial" w:hAnsi="Arial" w:cs="Arial"/>
          <w:sz w:val="19"/>
          <w:szCs w:val="19"/>
          <w:lang w:val="en"/>
        </w:rPr>
        <w:t> </w:t>
      </w:r>
      <w:r>
        <w:t xml:space="preserve">For the full program click </w:t>
      </w:r>
      <w:hyperlink r:id="rId10" w:history="1">
        <w:r>
          <w:rPr>
            <w:rStyle w:val="Hyperlink"/>
          </w:rPr>
          <w:t>here</w:t>
        </w:r>
      </w:hyperlink>
      <w:r>
        <w:t>, and enjoy what is on offer.</w:t>
      </w:r>
    </w:p>
    <w:p w:rsidR="00176D3E" w:rsidRDefault="00176D3E" w:rsidP="00176D3E">
      <w:pPr>
        <w:pStyle w:val="Heading1"/>
        <w:rPr>
          <w:rFonts w:ascii="Calibri" w:eastAsia="Times New Roman" w:hAnsi="Calibri"/>
          <w:sz w:val="24"/>
          <w:szCs w:val="24"/>
        </w:rPr>
      </w:pPr>
      <w:r>
        <w:rPr>
          <w:rFonts w:eastAsia="Times New Roman"/>
        </w:rPr>
        <w:t>Embracing Street Art</w:t>
      </w:r>
      <w:r>
        <w:rPr>
          <w:rFonts w:eastAsia="Times New Roman"/>
        </w:rPr>
        <w:br/>
      </w:r>
      <w:r>
        <w:rPr>
          <w:rFonts w:ascii="Calibri" w:eastAsia="Times New Roman" w:hAnsi="Calibri"/>
          <w:color w:val="auto"/>
          <w:sz w:val="24"/>
          <w:szCs w:val="24"/>
          <w:lang w:val="en"/>
        </w:rPr>
        <w:t xml:space="preserve">The City of Hobart and City of Launceston have both been exploring street art as a way to add vibrancy to the urban environment and to deter graffiti, including on places entered on the Tasmanian Heritage Register. For the full story click </w:t>
      </w:r>
      <w:hyperlink r:id="rId11" w:history="1">
        <w:r>
          <w:rPr>
            <w:rStyle w:val="Hyperlink"/>
            <w:rFonts w:ascii="Calibri" w:eastAsia="Times New Roman" w:hAnsi="Calibri"/>
            <w:sz w:val="24"/>
            <w:szCs w:val="24"/>
            <w:lang w:val="en"/>
          </w:rPr>
          <w:t>here</w:t>
        </w:r>
      </w:hyperlink>
      <w:r>
        <w:rPr>
          <w:rFonts w:ascii="Calibri" w:eastAsia="Times New Roman" w:hAnsi="Calibri"/>
          <w:color w:val="auto"/>
          <w:sz w:val="24"/>
          <w:szCs w:val="24"/>
          <w:lang w:val="en"/>
        </w:rPr>
        <w:t>.</w:t>
      </w:r>
    </w:p>
    <w:p w:rsidR="00176D3E" w:rsidRDefault="00176D3E" w:rsidP="00176D3E">
      <w:pPr>
        <w:pStyle w:val="NoSpacing"/>
        <w:rPr>
          <w:color w:val="1F497D"/>
          <w:sz w:val="22"/>
          <w:szCs w:val="22"/>
        </w:rPr>
      </w:pPr>
    </w:p>
    <w:p w:rsidR="00176D3E" w:rsidRDefault="00176D3E" w:rsidP="00176D3E">
      <w:pPr>
        <w:rPr>
          <w:rStyle w:val="Heading1Char"/>
          <w:color w:val="2E75B6"/>
        </w:rPr>
      </w:pPr>
      <w:r>
        <w:rPr>
          <w:rStyle w:val="Heading2Char"/>
        </w:rPr>
        <w:lastRenderedPageBreak/>
        <w:t>PRESENTATION</w:t>
      </w:r>
      <w:r>
        <w:rPr>
          <w:rStyle w:val="Heading2Char"/>
          <w:color w:val="2E75B6"/>
        </w:rPr>
        <w:t>:</w:t>
      </w:r>
      <w:r>
        <w:rPr>
          <w:rStyle w:val="Heading1Char"/>
          <w:color w:val="2E75B6"/>
        </w:rPr>
        <w:t xml:space="preserve"> Place, Memory and Learning in Hobart – 1972-1992</w:t>
      </w:r>
    </w:p>
    <w:p w:rsidR="00176D3E" w:rsidRDefault="00176D3E" w:rsidP="00176D3E">
      <w:pPr>
        <w:rPr>
          <w:rStyle w:val="Strong"/>
          <w:sz w:val="24"/>
          <w:szCs w:val="24"/>
        </w:rPr>
      </w:pPr>
      <w:r>
        <w:rPr>
          <w:rStyle w:val="Strong"/>
          <w:sz w:val="24"/>
          <w:szCs w:val="24"/>
        </w:rPr>
        <w:t xml:space="preserve">Thursday, 4 May 2017 | 1:00 pm – 2:00 pm | </w:t>
      </w:r>
      <w:proofErr w:type="spellStart"/>
      <w:r>
        <w:rPr>
          <w:rStyle w:val="Strong"/>
          <w:sz w:val="24"/>
          <w:szCs w:val="24"/>
        </w:rPr>
        <w:t>Allport</w:t>
      </w:r>
      <w:proofErr w:type="spellEnd"/>
      <w:r>
        <w:rPr>
          <w:rStyle w:val="Strong"/>
          <w:sz w:val="24"/>
          <w:szCs w:val="24"/>
        </w:rPr>
        <w:t xml:space="preserve"> Library and Museum of Fine Arts, 91 Murray Street Hobart</w:t>
      </w:r>
    </w:p>
    <w:p w:rsidR="00176D3E" w:rsidRDefault="00176D3E" w:rsidP="00176D3E">
      <w:pPr>
        <w:jc w:val="both"/>
      </w:pPr>
      <w:r>
        <w:rPr>
          <w:sz w:val="24"/>
          <w:szCs w:val="24"/>
        </w:rPr>
        <w:t xml:space="preserve">In this presentation Robert Vincent applies activity theory and qualitative analysis techniques to case studies of urban change and inner city planning in Battery Point, North Hobart and </w:t>
      </w:r>
      <w:proofErr w:type="spellStart"/>
      <w:r>
        <w:rPr>
          <w:sz w:val="24"/>
          <w:szCs w:val="24"/>
        </w:rPr>
        <w:t>Sullivans</w:t>
      </w:r>
      <w:proofErr w:type="spellEnd"/>
      <w:r>
        <w:rPr>
          <w:sz w:val="24"/>
          <w:szCs w:val="24"/>
        </w:rPr>
        <w:t xml:space="preserve"> Cove. His study aims to review Hobart’s inner city action groups and their processes, actions and activities, by recording their written and oral history (where it is possible). His study includes the unique set of events and the information they generated before it is lost and totally untraceable. It presents alternative views and interpretations of these events. Robert Vincent was an architect and urban planner and has experience and knowledge of these locations to explore and share. His presentation aims to analyse urban change to determine the degree to which the groups succeeded in planning the inner city. It will also determine how the various tactics and operations of the groups changed the outcome of planning schemes, specific plans or public programs.</w:t>
      </w:r>
    </w:p>
    <w:p w:rsidR="00176D3E" w:rsidRDefault="00176D3E" w:rsidP="00176D3E">
      <w:pPr>
        <w:rPr>
          <w:color w:val="1F497D"/>
          <w:lang w:eastAsia="en-AU"/>
        </w:rPr>
      </w:pPr>
    </w:p>
    <w:p w:rsidR="00176D3E" w:rsidRDefault="00176D3E" w:rsidP="00176D3E">
      <w:pPr>
        <w:autoSpaceDE w:val="0"/>
        <w:autoSpaceDN w:val="0"/>
        <w:rPr>
          <w:rStyle w:val="Heading2Char"/>
          <w:sz w:val="28"/>
          <w:szCs w:val="28"/>
        </w:rPr>
      </w:pPr>
      <w:r>
        <w:rPr>
          <w:rStyle w:val="Heading2Char"/>
        </w:rPr>
        <w:t xml:space="preserve">VIDEO SCREENING: </w:t>
      </w:r>
      <w:r>
        <w:rPr>
          <w:rStyle w:val="Heading2Char"/>
          <w:sz w:val="32"/>
          <w:szCs w:val="32"/>
        </w:rPr>
        <w:t>Stories from the People of the Great Lake Power Scheme</w:t>
      </w:r>
    </w:p>
    <w:p w:rsidR="00176D3E" w:rsidRDefault="00176D3E" w:rsidP="00176D3E">
      <w:pPr>
        <w:autoSpaceDE w:val="0"/>
        <w:autoSpaceDN w:val="0"/>
        <w:rPr>
          <w:rStyle w:val="Heading2Char"/>
          <w:rFonts w:ascii="Calibri" w:hAnsi="Calibri"/>
          <w:b/>
          <w:bCs/>
          <w:color w:val="auto"/>
          <w:sz w:val="24"/>
          <w:szCs w:val="24"/>
        </w:rPr>
      </w:pPr>
      <w:r>
        <w:rPr>
          <w:rStyle w:val="Heading2Char"/>
          <w:b/>
          <w:bCs/>
          <w:sz w:val="24"/>
          <w:szCs w:val="24"/>
        </w:rPr>
        <w:t>Tuesday 16 May 2017 | 1:00pm – 2:00 pm | Hydro Tasmania Auditorium, Level 1, 4 Elizabeth Street, Hobart</w:t>
      </w:r>
    </w:p>
    <w:p w:rsidR="00176D3E" w:rsidRDefault="00176D3E" w:rsidP="00176D3E">
      <w:r>
        <w:rPr>
          <w:sz w:val="24"/>
          <w:szCs w:val="24"/>
        </w:rPr>
        <w:t xml:space="preserve">This event will showcase a collection of memories from people who lived and worked in Waddamana and the Great Lake Power Scheme. These video recollections will soon be on show at Waddamana Power Station Heritage Site for visitors, however as part of the 2017 Australian Heritage Festival there is a chance to view the first showing. Bookings essential by emailing </w:t>
      </w:r>
      <w:hyperlink r:id="rId12" w:history="1">
        <w:r>
          <w:rPr>
            <w:rStyle w:val="Hyperlink"/>
            <w:sz w:val="24"/>
            <w:szCs w:val="24"/>
          </w:rPr>
          <w:t>contactus@hydro.com.au</w:t>
        </w:r>
      </w:hyperlink>
      <w:r>
        <w:rPr>
          <w:sz w:val="24"/>
          <w:szCs w:val="24"/>
        </w:rPr>
        <w:t xml:space="preserve"> or telephone 1300 360 441.</w:t>
      </w:r>
    </w:p>
    <w:p w:rsidR="00176D3E" w:rsidRDefault="00176D3E" w:rsidP="00176D3E">
      <w:pPr>
        <w:autoSpaceDE w:val="0"/>
        <w:autoSpaceDN w:val="0"/>
        <w:rPr>
          <w:rStyle w:val="Heading2Char"/>
        </w:rPr>
      </w:pPr>
    </w:p>
    <w:p w:rsidR="00176D3E" w:rsidRDefault="00176D3E" w:rsidP="00176D3E">
      <w:pPr>
        <w:autoSpaceDE w:val="0"/>
        <w:autoSpaceDN w:val="0"/>
        <w:rPr>
          <w:rFonts w:ascii="Times New Roman" w:hAnsi="Times New Roman"/>
          <w:i/>
          <w:iCs/>
          <w:sz w:val="24"/>
          <w:szCs w:val="24"/>
        </w:rPr>
      </w:pPr>
      <w:r>
        <w:rPr>
          <w:rStyle w:val="Heading2Char"/>
        </w:rPr>
        <w:t xml:space="preserve">PRESENTATION: </w:t>
      </w:r>
      <w:r>
        <w:rPr>
          <w:rStyle w:val="Heading2Char"/>
          <w:sz w:val="32"/>
          <w:szCs w:val="32"/>
        </w:rPr>
        <w:t>Governor Macquarie’s</w:t>
      </w:r>
      <w:r>
        <w:rPr>
          <w:rStyle w:val="Heading2Char"/>
        </w:rPr>
        <w:t xml:space="preserve"> </w:t>
      </w:r>
      <w:r>
        <w:rPr>
          <w:rFonts w:ascii="Calibri Light" w:hAnsi="Calibri Light"/>
          <w:color w:val="2E75B6"/>
          <w:sz w:val="32"/>
          <w:szCs w:val="32"/>
        </w:rPr>
        <w:t>Legacy – The Tasmanian Connection</w:t>
      </w:r>
      <w:r>
        <w:rPr>
          <w:rStyle w:val="Heading2Char"/>
        </w:rPr>
        <w:br/>
      </w:r>
      <w:r>
        <w:rPr>
          <w:b/>
          <w:bCs/>
          <w:sz w:val="24"/>
          <w:szCs w:val="24"/>
        </w:rPr>
        <w:t>Sunday 21 May 2017 | 9:00am – 4:00pm| York Cove Centre, Sorell Street, George Town</w:t>
      </w:r>
      <w:r>
        <w:rPr>
          <w:b/>
          <w:bCs/>
          <w:sz w:val="24"/>
          <w:szCs w:val="24"/>
        </w:rPr>
        <w:br/>
      </w:r>
      <w:r>
        <w:rPr>
          <w:sz w:val="24"/>
          <w:szCs w:val="24"/>
        </w:rPr>
        <w:t>Lachlan Macquarie, Governor of NSW 1809-22, also held authority as Governor-in-Chief. As such, he had considerable control and influence over the settlements of Van Diemen’s Land, through his supervision of his Commandants and Lieutenant Governors and his instructions given during his two visits to island, in 1811 and 1821. These include the foundation of seven of Tasmania’s more important towns; the location of many of Hobart’s public buildings; and the settlement of Norfolk Islanders in Northern Tasmania. He also encouraged many settlers and emancipated convicts, who would form the mainstay of Tasmania’s commercial and agricultural development. This conference will tease out this legacy.</w:t>
      </w:r>
      <w:r>
        <w:rPr>
          <w:rFonts w:ascii="Times New Roman" w:hAnsi="Times New Roman"/>
          <w:sz w:val="24"/>
          <w:szCs w:val="24"/>
        </w:rPr>
        <w:t xml:space="preserve"> </w:t>
      </w:r>
      <w:r>
        <w:rPr>
          <w:sz w:val="24"/>
          <w:szCs w:val="24"/>
        </w:rPr>
        <w:t xml:space="preserve">Conference Speakers: Anthony Page (UTAS), Robin Walsh, (Macquarie University), Helen Mackay and Kate </w:t>
      </w:r>
      <w:proofErr w:type="spellStart"/>
      <w:r>
        <w:rPr>
          <w:sz w:val="24"/>
          <w:szCs w:val="24"/>
        </w:rPr>
        <w:t>Mackaness</w:t>
      </w:r>
      <w:proofErr w:type="spellEnd"/>
      <w:r>
        <w:rPr>
          <w:sz w:val="24"/>
          <w:szCs w:val="24"/>
        </w:rPr>
        <w:t xml:space="preserve"> (Windsor, NSW), Peter Cox, John Dent, Thomas Gunn, Peter </w:t>
      </w:r>
      <w:proofErr w:type="spellStart"/>
      <w:r>
        <w:rPr>
          <w:sz w:val="24"/>
          <w:szCs w:val="24"/>
        </w:rPr>
        <w:t>MacFie</w:t>
      </w:r>
      <w:proofErr w:type="spellEnd"/>
      <w:r>
        <w:rPr>
          <w:sz w:val="24"/>
          <w:szCs w:val="24"/>
        </w:rPr>
        <w:t xml:space="preserve"> and John Wadsley</w:t>
      </w:r>
      <w:r>
        <w:rPr>
          <w:rFonts w:ascii="Times New Roman" w:hAnsi="Times New Roman"/>
          <w:sz w:val="24"/>
          <w:szCs w:val="24"/>
        </w:rPr>
        <w:t xml:space="preserve">. </w:t>
      </w:r>
      <w:r>
        <w:rPr>
          <w:b/>
          <w:bCs/>
          <w:sz w:val="24"/>
          <w:szCs w:val="24"/>
        </w:rPr>
        <w:t>Cost is $35. To register,</w:t>
      </w:r>
      <w:proofErr w:type="gramStart"/>
      <w:r>
        <w:rPr>
          <w:b/>
          <w:bCs/>
          <w:sz w:val="24"/>
          <w:szCs w:val="24"/>
        </w:rPr>
        <w:t>  email</w:t>
      </w:r>
      <w:proofErr w:type="gramEnd"/>
      <w:r>
        <w:rPr>
          <w:b/>
          <w:bCs/>
          <w:sz w:val="24"/>
          <w:szCs w:val="24"/>
        </w:rPr>
        <w:t xml:space="preserve"> </w:t>
      </w:r>
      <w:r>
        <w:rPr>
          <w:sz w:val="24"/>
          <w:szCs w:val="24"/>
        </w:rPr>
        <w:t> </w:t>
      </w:r>
      <w:hyperlink r:id="rId13" w:history="1">
        <w:r>
          <w:rPr>
            <w:rStyle w:val="Hyperlink"/>
            <w:sz w:val="24"/>
            <w:szCs w:val="24"/>
          </w:rPr>
          <w:t>us@thegrovetas.com</w:t>
        </w:r>
      </w:hyperlink>
      <w:r>
        <w:rPr>
          <w:color w:val="0563C2"/>
          <w:sz w:val="24"/>
          <w:szCs w:val="24"/>
        </w:rPr>
        <w:t xml:space="preserve"> </w:t>
      </w:r>
    </w:p>
    <w:p w:rsidR="00176D3E" w:rsidRDefault="00176D3E" w:rsidP="00176D3E">
      <w:pPr>
        <w:autoSpaceDE w:val="0"/>
        <w:autoSpaceDN w:val="0"/>
        <w:rPr>
          <w:rFonts w:ascii="Times New Roman" w:hAnsi="Times New Roman"/>
          <w:i/>
          <w:iCs/>
          <w:sz w:val="24"/>
          <w:szCs w:val="24"/>
        </w:rPr>
      </w:pPr>
    </w:p>
    <w:p w:rsidR="00176D3E" w:rsidRDefault="00176D3E" w:rsidP="00176D3E">
      <w:pPr>
        <w:pStyle w:val="Heading1"/>
        <w:rPr>
          <w:rStyle w:val="Heading2Char"/>
          <w:rFonts w:eastAsia="Times New Roman"/>
        </w:rPr>
      </w:pPr>
    </w:p>
    <w:p w:rsidR="00176D3E" w:rsidRDefault="00176D3E" w:rsidP="00176D3E">
      <w:pPr>
        <w:pStyle w:val="Heading1"/>
        <w:rPr>
          <w:rFonts w:eastAsia="Times New Roman"/>
        </w:rPr>
      </w:pPr>
      <w:bookmarkStart w:id="0" w:name="_GoBack"/>
      <w:bookmarkEnd w:id="0"/>
      <w:r>
        <w:rPr>
          <w:rStyle w:val="Heading2Char"/>
          <w:rFonts w:eastAsia="Times New Roman"/>
        </w:rPr>
        <w:t>WALKING TOUR:</w:t>
      </w:r>
      <w:r>
        <w:rPr>
          <w:rStyle w:val="Heading1Char"/>
          <w:rFonts w:eastAsia="Times New Roman"/>
          <w:color w:val="1F497D"/>
        </w:rPr>
        <w:t xml:space="preserve"> </w:t>
      </w:r>
      <w:r>
        <w:rPr>
          <w:rStyle w:val="Heading1Char"/>
          <w:rFonts w:eastAsia="Times New Roman"/>
          <w:color w:val="2E75B6"/>
        </w:rPr>
        <w:t xml:space="preserve">Education, Flagellation and Recreation: The Story of Royal Park, Launceston </w:t>
      </w:r>
    </w:p>
    <w:p w:rsidR="00176D3E" w:rsidRDefault="00176D3E" w:rsidP="00176D3E">
      <w:pPr>
        <w:rPr>
          <w:rStyle w:val="Strong"/>
          <w:sz w:val="24"/>
          <w:szCs w:val="24"/>
        </w:rPr>
      </w:pPr>
      <w:r>
        <w:rPr>
          <w:rStyle w:val="Strong"/>
          <w:sz w:val="24"/>
          <w:szCs w:val="24"/>
        </w:rPr>
        <w:t>Sunday 21 May 2017 | 2:00pm – 4:00pm | Starting from Launceston College, Paterson Street</w:t>
      </w:r>
    </w:p>
    <w:p w:rsidR="00176D3E" w:rsidRDefault="00176D3E" w:rsidP="00176D3E">
      <w:pPr>
        <w:spacing w:after="120"/>
        <w:jc w:val="both"/>
        <w:rPr>
          <w:spacing w:val="-4"/>
        </w:rPr>
      </w:pPr>
      <w:r>
        <w:rPr>
          <w:color w:val="000000"/>
          <w:sz w:val="24"/>
          <w:szCs w:val="24"/>
          <w:lang w:val="en-US"/>
        </w:rPr>
        <w:t xml:space="preserve">Hear about Launceston’s convict past (and more) on a walking tour of the Royal Park precinct conducted by Launceston Historical Society committee members. The walk starts at the site of the former </w:t>
      </w:r>
      <w:proofErr w:type="spellStart"/>
      <w:r>
        <w:rPr>
          <w:color w:val="000000"/>
          <w:sz w:val="24"/>
          <w:szCs w:val="24"/>
          <w:lang w:val="en-US"/>
        </w:rPr>
        <w:t>gaol</w:t>
      </w:r>
      <w:proofErr w:type="spellEnd"/>
      <w:r>
        <w:rPr>
          <w:color w:val="000000"/>
          <w:sz w:val="24"/>
          <w:szCs w:val="24"/>
          <w:lang w:val="en-US"/>
        </w:rPr>
        <w:t xml:space="preserve"> at Launceston College (Patterson Street). To avoid overcrowding numbers are limited. Places will be allocated on a first come first served basis.  Please come early and collect a token on arrival to secure your place. The walk is free. </w:t>
      </w:r>
      <w:r>
        <w:rPr>
          <w:spacing w:val="-4"/>
          <w:sz w:val="24"/>
          <w:szCs w:val="24"/>
        </w:rPr>
        <w:t xml:space="preserve">After the walk enjoy afternoon tea and a slideshow of historic photographs at Launceston College, for a gold coin donation. For more information email </w:t>
      </w:r>
      <w:hyperlink r:id="rId14" w:history="1">
        <w:r>
          <w:rPr>
            <w:rStyle w:val="Hyperlink"/>
            <w:spacing w:val="-4"/>
            <w:sz w:val="24"/>
            <w:szCs w:val="24"/>
          </w:rPr>
          <w:t>launcestonhistory@gmail.com</w:t>
        </w:r>
      </w:hyperlink>
      <w:r>
        <w:rPr>
          <w:spacing w:val="-4"/>
          <w:sz w:val="24"/>
          <w:szCs w:val="24"/>
        </w:rPr>
        <w:t xml:space="preserve"> </w:t>
      </w:r>
    </w:p>
    <w:p w:rsidR="00176D3E" w:rsidRDefault="00176D3E" w:rsidP="00176D3E">
      <w:pPr>
        <w:pStyle w:val="Heading1"/>
        <w:rPr>
          <w:rFonts w:eastAsia="Times New Roman"/>
          <w:sz w:val="26"/>
          <w:szCs w:val="26"/>
        </w:rPr>
      </w:pPr>
      <w:r>
        <w:rPr>
          <w:rStyle w:val="Heading1Char"/>
          <w:rFonts w:eastAsia="Times New Roman"/>
          <w:color w:val="2E75B6"/>
          <w:sz w:val="26"/>
          <w:szCs w:val="26"/>
        </w:rPr>
        <w:t>FORUM:</w:t>
      </w:r>
      <w:r>
        <w:rPr>
          <w:rStyle w:val="Heading1Char"/>
          <w:rFonts w:eastAsia="Times New Roman"/>
          <w:color w:val="2E75B6"/>
        </w:rPr>
        <w:t xml:space="preserve"> Tourism and History – Realising its Potential </w:t>
      </w:r>
    </w:p>
    <w:p w:rsidR="00176D3E" w:rsidRDefault="00176D3E" w:rsidP="00176D3E">
      <w:pPr>
        <w:rPr>
          <w:rStyle w:val="Strong"/>
          <w:sz w:val="24"/>
          <w:szCs w:val="24"/>
        </w:rPr>
      </w:pPr>
      <w:r>
        <w:rPr>
          <w:rStyle w:val="Strong"/>
          <w:sz w:val="24"/>
          <w:szCs w:val="24"/>
        </w:rPr>
        <w:t>25-26 August 2017 | Longford Tasmania</w:t>
      </w:r>
    </w:p>
    <w:p w:rsidR="00176D3E" w:rsidRDefault="00176D3E" w:rsidP="00176D3E">
      <w:pPr>
        <w:rPr>
          <w:rStyle w:val="Strong"/>
          <w:b w:val="0"/>
          <w:bCs w:val="0"/>
          <w:sz w:val="24"/>
          <w:szCs w:val="24"/>
        </w:rPr>
      </w:pPr>
      <w:r>
        <w:rPr>
          <w:rStyle w:val="Strong"/>
          <w:b w:val="0"/>
          <w:bCs w:val="0"/>
          <w:sz w:val="24"/>
          <w:szCs w:val="24"/>
        </w:rPr>
        <w:t xml:space="preserve">Bookmark these dates in your calendar.  The heritage tourism sector is a significant component of Tasmania’s attraction for tourists. As the tourism industry and visitor expectations change, collaboration is required to ensure optimal outcomes for individual sites, the industry as a whole, and the Tasmanian economy. Program and registration fees will be announced in the near future. </w:t>
      </w:r>
    </w:p>
    <w:p w:rsidR="004404F0" w:rsidRDefault="004404F0" w:rsidP="004404F0">
      <w:pPr>
        <w:rPr>
          <w:sz w:val="24"/>
          <w:szCs w:val="24"/>
        </w:rPr>
      </w:pPr>
    </w:p>
    <w:p w:rsidR="004404F0" w:rsidRDefault="004404F0" w:rsidP="004404F0">
      <w:pPr>
        <w:pStyle w:val="Heading2"/>
        <w:rPr>
          <w:rStyle w:val="IntenseEmphasis"/>
          <w:rFonts w:eastAsia="Times New Roman"/>
          <w:sz w:val="22"/>
          <w:szCs w:val="22"/>
        </w:rPr>
      </w:pPr>
      <w:r>
        <w:rPr>
          <w:rStyle w:val="IntenseEmphasis"/>
          <w:rFonts w:eastAsia="Times New Roman"/>
          <w:sz w:val="22"/>
          <w:szCs w:val="22"/>
        </w:rPr>
        <w:t xml:space="preserve">Contributions: If you would like to contribute a story to E-NEWS, promote an upcoming heritage event, subscribe to or cancel your subscription please email </w:t>
      </w:r>
      <w:hyperlink r:id="rId15" w:history="1">
        <w:r>
          <w:rPr>
            <w:rStyle w:val="Hyperlink"/>
            <w:rFonts w:eastAsia="Times New Roman"/>
            <w:b/>
            <w:bCs/>
            <w:color w:val="5B9BD5"/>
            <w:sz w:val="22"/>
            <w:szCs w:val="22"/>
          </w:rPr>
          <w:t>enquiries@heritage.tas.gov.au</w:t>
        </w:r>
      </w:hyperlink>
      <w:r>
        <w:rPr>
          <w:rStyle w:val="IntenseEmphasis"/>
          <w:rFonts w:eastAsia="Times New Roman"/>
          <w:sz w:val="22"/>
          <w:szCs w:val="22"/>
        </w:rPr>
        <w:t xml:space="preserve">   </w:t>
      </w:r>
      <w:proofErr w:type="gramStart"/>
      <w:r>
        <w:rPr>
          <w:rStyle w:val="IntenseEmphasis"/>
          <w:rFonts w:eastAsia="Times New Roman"/>
          <w:sz w:val="22"/>
          <w:szCs w:val="22"/>
        </w:rPr>
        <w:t>We</w:t>
      </w:r>
      <w:proofErr w:type="gramEnd"/>
      <w:r>
        <w:rPr>
          <w:rStyle w:val="IntenseEmphasis"/>
          <w:rFonts w:eastAsia="Times New Roman"/>
          <w:sz w:val="22"/>
          <w:szCs w:val="22"/>
        </w:rPr>
        <w:t xml:space="preserve"> respect your privacy and do not pass on the personal details of subscribers. </w:t>
      </w:r>
    </w:p>
    <w:p w:rsidR="004404F0" w:rsidRDefault="004404F0" w:rsidP="004404F0">
      <w:pPr>
        <w:ind w:hanging="1080"/>
        <w:rPr>
          <w:rFonts w:ascii="Helv" w:hAnsi="Helv"/>
          <w:sz w:val="36"/>
          <w:szCs w:val="36"/>
        </w:rPr>
      </w:pPr>
      <w:r>
        <w:t> </w:t>
      </w:r>
    </w:p>
    <w:p w:rsidR="00146613" w:rsidRDefault="004404F0" w:rsidP="00146613">
      <w:pPr>
        <w:ind w:hanging="1080"/>
        <w:rPr>
          <w:rFonts w:ascii="Helv" w:hAnsi="Helv"/>
          <w:sz w:val="36"/>
          <w:szCs w:val="36"/>
        </w:rPr>
      </w:pPr>
      <w:r>
        <w:t> </w:t>
      </w:r>
    </w:p>
    <w:p w:rsidR="00146613" w:rsidRDefault="00146613" w:rsidP="00146613">
      <w:pPr>
        <w:ind w:hanging="1080"/>
        <w:jc w:val="center"/>
        <w:rPr>
          <w:rStyle w:val="IntenseReference"/>
        </w:rPr>
      </w:pPr>
      <w:r>
        <w:rPr>
          <w:rStyle w:val="IntenseReference"/>
        </w:rPr>
        <w:t xml:space="preserve">Phone: 1300 850 332 (local call cost) | Fax: (03) 6233 3186 </w:t>
      </w:r>
    </w:p>
    <w:p w:rsidR="00146613" w:rsidRDefault="00146613" w:rsidP="00146613">
      <w:pPr>
        <w:ind w:hanging="1080"/>
        <w:jc w:val="center"/>
        <w:rPr>
          <w:rStyle w:val="IntenseReference"/>
          <w:u w:val="single"/>
        </w:rPr>
      </w:pPr>
      <w:r>
        <w:rPr>
          <w:rStyle w:val="IntenseReference"/>
        </w:rPr>
        <w:t xml:space="preserve">Email: </w:t>
      </w:r>
      <w:hyperlink r:id="rId16" w:history="1">
        <w:r>
          <w:rPr>
            <w:rStyle w:val="Hyperlink"/>
            <w:b/>
            <w:bCs/>
            <w:smallCaps/>
            <w:color w:val="5B9BD5"/>
            <w:spacing w:val="5"/>
          </w:rPr>
          <w:t>enquiries@heritage.tas.gov.au</w:t>
        </w:r>
      </w:hyperlink>
      <w:r>
        <w:rPr>
          <w:rStyle w:val="IntenseReference"/>
        </w:rPr>
        <w:t xml:space="preserve"> | </w:t>
      </w:r>
      <w:hyperlink r:id="rId17" w:history="1">
        <w:r>
          <w:rPr>
            <w:rStyle w:val="Hyperlink"/>
            <w:b/>
            <w:bCs/>
            <w:smallCaps/>
            <w:color w:val="5B9BD5"/>
            <w:spacing w:val="5"/>
          </w:rPr>
          <w:t>http://www.heritage.tas.gov.au</w:t>
        </w:r>
      </w:hyperlink>
    </w:p>
    <w:sectPr w:rsidR="001466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4C6633"/>
    <w:multiLevelType w:val="hybridMultilevel"/>
    <w:tmpl w:val="1F1497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606722E7"/>
    <w:multiLevelType w:val="hybridMultilevel"/>
    <w:tmpl w:val="43ACA9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0B4"/>
    <w:rsid w:val="00065622"/>
    <w:rsid w:val="00146613"/>
    <w:rsid w:val="00176D3E"/>
    <w:rsid w:val="00306878"/>
    <w:rsid w:val="004404F0"/>
    <w:rsid w:val="004870B4"/>
    <w:rsid w:val="006F6F62"/>
    <w:rsid w:val="00D57917"/>
    <w:rsid w:val="00F878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9230F7-234F-4078-9C7F-92444522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0B4"/>
    <w:pPr>
      <w:spacing w:after="0" w:line="240" w:lineRule="auto"/>
    </w:pPr>
    <w:rPr>
      <w:rFonts w:ascii="Calibri" w:hAnsi="Calibri" w:cs="Times New Roman"/>
    </w:rPr>
  </w:style>
  <w:style w:type="paragraph" w:styleId="Heading1">
    <w:name w:val="heading 1"/>
    <w:basedOn w:val="Normal"/>
    <w:link w:val="Heading1Char"/>
    <w:uiPriority w:val="9"/>
    <w:qFormat/>
    <w:rsid w:val="004870B4"/>
    <w:pPr>
      <w:keepNext/>
      <w:spacing w:before="240"/>
      <w:outlineLvl w:val="0"/>
    </w:pPr>
    <w:rPr>
      <w:rFonts w:ascii="Calibri Light" w:hAnsi="Calibri Light"/>
      <w:color w:val="2E74B5"/>
      <w:kern w:val="36"/>
      <w:sz w:val="32"/>
      <w:szCs w:val="32"/>
      <w:lang w:eastAsia="en-AU"/>
    </w:rPr>
  </w:style>
  <w:style w:type="paragraph" w:styleId="Heading2">
    <w:name w:val="heading 2"/>
    <w:basedOn w:val="Normal"/>
    <w:link w:val="Heading2Char"/>
    <w:uiPriority w:val="9"/>
    <w:semiHidden/>
    <w:unhideWhenUsed/>
    <w:qFormat/>
    <w:rsid w:val="004870B4"/>
    <w:pPr>
      <w:keepNext/>
      <w:spacing w:before="40"/>
      <w:outlineLvl w:val="1"/>
    </w:pPr>
    <w:rPr>
      <w:rFonts w:ascii="Calibri Light" w:hAnsi="Calibri Light"/>
      <w:color w:val="2E74B5"/>
      <w:sz w:val="26"/>
      <w:szCs w:val="2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0B4"/>
    <w:rPr>
      <w:rFonts w:ascii="Calibri Light" w:hAnsi="Calibri Light" w:cs="Times New Roman"/>
      <w:color w:val="2E74B5"/>
      <w:kern w:val="36"/>
      <w:sz w:val="32"/>
      <w:szCs w:val="32"/>
      <w:lang w:eastAsia="en-AU"/>
    </w:rPr>
  </w:style>
  <w:style w:type="character" w:customStyle="1" w:styleId="Heading2Char">
    <w:name w:val="Heading 2 Char"/>
    <w:basedOn w:val="DefaultParagraphFont"/>
    <w:link w:val="Heading2"/>
    <w:uiPriority w:val="9"/>
    <w:semiHidden/>
    <w:rsid w:val="004870B4"/>
    <w:rPr>
      <w:rFonts w:ascii="Calibri Light" w:hAnsi="Calibri Light" w:cs="Times New Roman"/>
      <w:color w:val="2E74B5"/>
      <w:sz w:val="26"/>
      <w:szCs w:val="26"/>
      <w:lang w:eastAsia="en-AU"/>
    </w:rPr>
  </w:style>
  <w:style w:type="character" w:styleId="Hyperlink">
    <w:name w:val="Hyperlink"/>
    <w:basedOn w:val="DefaultParagraphFont"/>
    <w:uiPriority w:val="99"/>
    <w:semiHidden/>
    <w:unhideWhenUsed/>
    <w:rsid w:val="004870B4"/>
    <w:rPr>
      <w:color w:val="0563C1"/>
      <w:u w:val="single"/>
    </w:rPr>
  </w:style>
  <w:style w:type="paragraph" w:styleId="NormalWeb">
    <w:name w:val="Normal (Web)"/>
    <w:basedOn w:val="Normal"/>
    <w:uiPriority w:val="99"/>
    <w:semiHidden/>
    <w:unhideWhenUsed/>
    <w:rsid w:val="004870B4"/>
    <w:pPr>
      <w:spacing w:before="100" w:beforeAutospacing="1" w:after="100" w:afterAutospacing="1"/>
    </w:pPr>
    <w:rPr>
      <w:rFonts w:ascii="Times New Roman" w:hAnsi="Times New Roman"/>
      <w:sz w:val="24"/>
      <w:szCs w:val="24"/>
      <w:lang w:eastAsia="en-AU"/>
    </w:rPr>
  </w:style>
  <w:style w:type="paragraph" w:styleId="Title">
    <w:name w:val="Title"/>
    <w:basedOn w:val="Normal"/>
    <w:link w:val="TitleChar"/>
    <w:uiPriority w:val="10"/>
    <w:qFormat/>
    <w:rsid w:val="004870B4"/>
    <w:rPr>
      <w:rFonts w:ascii="Calibri Light" w:hAnsi="Calibri Light"/>
      <w:spacing w:val="-10"/>
      <w:sz w:val="56"/>
      <w:szCs w:val="56"/>
      <w:lang w:eastAsia="en-AU"/>
    </w:rPr>
  </w:style>
  <w:style w:type="character" w:customStyle="1" w:styleId="TitleChar">
    <w:name w:val="Title Char"/>
    <w:basedOn w:val="DefaultParagraphFont"/>
    <w:link w:val="Title"/>
    <w:uiPriority w:val="10"/>
    <w:rsid w:val="004870B4"/>
    <w:rPr>
      <w:rFonts w:ascii="Calibri Light" w:hAnsi="Calibri Light" w:cs="Times New Roman"/>
      <w:spacing w:val="-10"/>
      <w:sz w:val="56"/>
      <w:szCs w:val="56"/>
      <w:lang w:eastAsia="en-AU"/>
    </w:rPr>
  </w:style>
  <w:style w:type="paragraph" w:styleId="NoSpacing">
    <w:name w:val="No Spacing"/>
    <w:basedOn w:val="Normal"/>
    <w:uiPriority w:val="1"/>
    <w:qFormat/>
    <w:rsid w:val="004870B4"/>
    <w:rPr>
      <w:sz w:val="24"/>
      <w:szCs w:val="24"/>
      <w:lang w:eastAsia="en-AU"/>
    </w:rPr>
  </w:style>
  <w:style w:type="paragraph" w:styleId="ListParagraph">
    <w:name w:val="List Paragraph"/>
    <w:basedOn w:val="Normal"/>
    <w:uiPriority w:val="34"/>
    <w:qFormat/>
    <w:rsid w:val="004870B4"/>
    <w:pPr>
      <w:ind w:left="720"/>
    </w:pPr>
  </w:style>
  <w:style w:type="character" w:styleId="IntenseEmphasis">
    <w:name w:val="Intense Emphasis"/>
    <w:basedOn w:val="DefaultParagraphFont"/>
    <w:uiPriority w:val="21"/>
    <w:qFormat/>
    <w:rsid w:val="004870B4"/>
    <w:rPr>
      <w:b/>
      <w:bCs/>
      <w:i w:val="0"/>
      <w:iCs w:val="0"/>
      <w:color w:val="5B9BD5"/>
    </w:rPr>
  </w:style>
  <w:style w:type="character" w:styleId="Strong">
    <w:name w:val="Strong"/>
    <w:basedOn w:val="DefaultParagraphFont"/>
    <w:uiPriority w:val="22"/>
    <w:qFormat/>
    <w:rsid w:val="004870B4"/>
    <w:rPr>
      <w:b/>
      <w:bCs/>
    </w:rPr>
  </w:style>
  <w:style w:type="character" w:styleId="IntenseReference">
    <w:name w:val="Intense Reference"/>
    <w:basedOn w:val="DefaultParagraphFont"/>
    <w:uiPriority w:val="32"/>
    <w:qFormat/>
    <w:rsid w:val="00065622"/>
    <w:rPr>
      <w:b/>
      <w:bCs/>
      <w:smallCaps/>
      <w:color w:val="5B9BD5"/>
      <w:spacing w:val="5"/>
    </w:rPr>
  </w:style>
  <w:style w:type="paragraph" w:customStyle="1" w:styleId="Default">
    <w:name w:val="Default"/>
    <w:basedOn w:val="Normal"/>
    <w:rsid w:val="004404F0"/>
    <w:pPr>
      <w:autoSpaceDE w:val="0"/>
      <w:autoSpaceDN w:val="0"/>
    </w:pPr>
    <w:rPr>
      <w:rFonts w:ascii="Palatino Linotype" w:hAnsi="Palatino Linotyp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26245">
      <w:bodyDiv w:val="1"/>
      <w:marLeft w:val="0"/>
      <w:marRight w:val="0"/>
      <w:marTop w:val="0"/>
      <w:marBottom w:val="0"/>
      <w:divBdr>
        <w:top w:val="none" w:sz="0" w:space="0" w:color="auto"/>
        <w:left w:val="none" w:sz="0" w:space="0" w:color="auto"/>
        <w:bottom w:val="none" w:sz="0" w:space="0" w:color="auto"/>
        <w:right w:val="none" w:sz="0" w:space="0" w:color="auto"/>
      </w:divBdr>
    </w:div>
    <w:div w:id="130561728">
      <w:bodyDiv w:val="1"/>
      <w:marLeft w:val="0"/>
      <w:marRight w:val="0"/>
      <w:marTop w:val="0"/>
      <w:marBottom w:val="0"/>
      <w:divBdr>
        <w:top w:val="none" w:sz="0" w:space="0" w:color="auto"/>
        <w:left w:val="none" w:sz="0" w:space="0" w:color="auto"/>
        <w:bottom w:val="none" w:sz="0" w:space="0" w:color="auto"/>
        <w:right w:val="none" w:sz="0" w:space="0" w:color="auto"/>
      </w:divBdr>
    </w:div>
    <w:div w:id="152452883">
      <w:bodyDiv w:val="1"/>
      <w:marLeft w:val="0"/>
      <w:marRight w:val="0"/>
      <w:marTop w:val="0"/>
      <w:marBottom w:val="0"/>
      <w:divBdr>
        <w:top w:val="none" w:sz="0" w:space="0" w:color="auto"/>
        <w:left w:val="none" w:sz="0" w:space="0" w:color="auto"/>
        <w:bottom w:val="none" w:sz="0" w:space="0" w:color="auto"/>
        <w:right w:val="none" w:sz="0" w:space="0" w:color="auto"/>
      </w:divBdr>
    </w:div>
    <w:div w:id="461316291">
      <w:bodyDiv w:val="1"/>
      <w:marLeft w:val="0"/>
      <w:marRight w:val="0"/>
      <w:marTop w:val="0"/>
      <w:marBottom w:val="0"/>
      <w:divBdr>
        <w:top w:val="none" w:sz="0" w:space="0" w:color="auto"/>
        <w:left w:val="none" w:sz="0" w:space="0" w:color="auto"/>
        <w:bottom w:val="none" w:sz="0" w:space="0" w:color="auto"/>
        <w:right w:val="none" w:sz="0" w:space="0" w:color="auto"/>
      </w:divBdr>
    </w:div>
    <w:div w:id="558832903">
      <w:bodyDiv w:val="1"/>
      <w:marLeft w:val="0"/>
      <w:marRight w:val="0"/>
      <w:marTop w:val="0"/>
      <w:marBottom w:val="0"/>
      <w:divBdr>
        <w:top w:val="none" w:sz="0" w:space="0" w:color="auto"/>
        <w:left w:val="none" w:sz="0" w:space="0" w:color="auto"/>
        <w:bottom w:val="none" w:sz="0" w:space="0" w:color="auto"/>
        <w:right w:val="none" w:sz="0" w:space="0" w:color="auto"/>
      </w:divBdr>
    </w:div>
    <w:div w:id="614600609">
      <w:bodyDiv w:val="1"/>
      <w:marLeft w:val="0"/>
      <w:marRight w:val="0"/>
      <w:marTop w:val="0"/>
      <w:marBottom w:val="0"/>
      <w:divBdr>
        <w:top w:val="none" w:sz="0" w:space="0" w:color="auto"/>
        <w:left w:val="none" w:sz="0" w:space="0" w:color="auto"/>
        <w:bottom w:val="none" w:sz="0" w:space="0" w:color="auto"/>
        <w:right w:val="none" w:sz="0" w:space="0" w:color="auto"/>
      </w:divBdr>
    </w:div>
    <w:div w:id="798180526">
      <w:bodyDiv w:val="1"/>
      <w:marLeft w:val="0"/>
      <w:marRight w:val="0"/>
      <w:marTop w:val="0"/>
      <w:marBottom w:val="0"/>
      <w:divBdr>
        <w:top w:val="none" w:sz="0" w:space="0" w:color="auto"/>
        <w:left w:val="none" w:sz="0" w:space="0" w:color="auto"/>
        <w:bottom w:val="none" w:sz="0" w:space="0" w:color="auto"/>
        <w:right w:val="none" w:sz="0" w:space="0" w:color="auto"/>
      </w:divBdr>
    </w:div>
    <w:div w:id="1139763806">
      <w:bodyDiv w:val="1"/>
      <w:marLeft w:val="0"/>
      <w:marRight w:val="0"/>
      <w:marTop w:val="0"/>
      <w:marBottom w:val="0"/>
      <w:divBdr>
        <w:top w:val="none" w:sz="0" w:space="0" w:color="auto"/>
        <w:left w:val="none" w:sz="0" w:space="0" w:color="auto"/>
        <w:bottom w:val="none" w:sz="0" w:space="0" w:color="auto"/>
        <w:right w:val="none" w:sz="0" w:space="0" w:color="auto"/>
      </w:divBdr>
    </w:div>
    <w:div w:id="1383945404">
      <w:bodyDiv w:val="1"/>
      <w:marLeft w:val="0"/>
      <w:marRight w:val="0"/>
      <w:marTop w:val="0"/>
      <w:marBottom w:val="0"/>
      <w:divBdr>
        <w:top w:val="none" w:sz="0" w:space="0" w:color="auto"/>
        <w:left w:val="none" w:sz="0" w:space="0" w:color="auto"/>
        <w:bottom w:val="none" w:sz="0" w:space="0" w:color="auto"/>
        <w:right w:val="none" w:sz="0" w:space="0" w:color="auto"/>
      </w:divBdr>
    </w:div>
    <w:div w:id="1849903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heritage.tas.gov.au" TargetMode="External"/><Relationship Id="rId13" Type="http://schemas.openxmlformats.org/officeDocument/2006/relationships/hyperlink" Target="mailto:us@thegrovetas.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gat.tas.gov.au/page.aspx?u=209&amp;print=1" TargetMode="External"/><Relationship Id="rId12" Type="http://schemas.openxmlformats.org/officeDocument/2006/relationships/hyperlink" Target="mailto:contactus@hydro.com.au" TargetMode="External"/><Relationship Id="rId17" Type="http://schemas.openxmlformats.org/officeDocument/2006/relationships/hyperlink" Target="http://www.heritage.tas.gov.au" TargetMode="External"/><Relationship Id="rId2" Type="http://schemas.openxmlformats.org/officeDocument/2006/relationships/styles" Target="styles.xml"/><Relationship Id="rId16" Type="http://schemas.openxmlformats.org/officeDocument/2006/relationships/hyperlink" Target="mailto:enquiries@heritage.tas.gov.au" TargetMode="External"/><Relationship Id="rId1" Type="http://schemas.openxmlformats.org/officeDocument/2006/relationships/numbering" Target="numbering.xml"/><Relationship Id="rId6" Type="http://schemas.openxmlformats.org/officeDocument/2006/relationships/hyperlink" Target="http://heritage.tas.gov.au/news/celebrating-cultural-heritage-and-sustainable-tourism" TargetMode="External"/><Relationship Id="rId11" Type="http://schemas.openxmlformats.org/officeDocument/2006/relationships/hyperlink" Target="http://heritage.tas.gov.au/news/embracing-street-art" TargetMode="External"/><Relationship Id="rId5" Type="http://schemas.openxmlformats.org/officeDocument/2006/relationships/hyperlink" Target="http://www.heritage.tas.gov.au/" TargetMode="External"/><Relationship Id="rId15" Type="http://schemas.openxmlformats.org/officeDocument/2006/relationships/hyperlink" Target="mailto:enquiries@heritage.tas.gov.au" TargetMode="External"/><Relationship Id="rId10" Type="http://schemas.openxmlformats.org/officeDocument/2006/relationships/hyperlink" Target="https://www.nationaltrust.org.au/explore/?keyword=&amp;ahfdate-search=&amp;ahf-region=TAS&amp;region-lat=-41.4545196&amp;region-lng=145.9706648&amp;content=ahf_even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heritage.tas.gov.au/news/salamanca-arts-centre-celebratin-40-years" TargetMode="External"/><Relationship Id="rId14" Type="http://schemas.openxmlformats.org/officeDocument/2006/relationships/hyperlink" Target="mailto:launcestonhistor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1220</Words>
  <Characters>6958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Deakin University</Company>
  <LinksUpToDate>false</LinksUpToDate>
  <CharactersWithSpaces>8162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Meros</dc:creator>
  <cp:keywords/>
  <dc:description/>
  <cp:lastModifiedBy>Georgia Meros</cp:lastModifiedBy>
  <cp:revision>2</cp:revision>
  <dcterms:created xsi:type="dcterms:W3CDTF">2017-04-28T00:49:00Z</dcterms:created>
  <dcterms:modified xsi:type="dcterms:W3CDTF">2017-04-28T00:49:00Z</dcterms:modified>
</cp:coreProperties>
</file>