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5A02" w:rsidRPr="00E422F2" w:rsidRDefault="00C96629" w:rsidP="00815A02">
      <w:pPr>
        <w:pBdr>
          <w:bottom w:val="single" w:sz="4" w:space="1" w:color="auto"/>
        </w:pBdr>
        <w:rPr>
          <w:b/>
          <w:sz w:val="22"/>
          <w:szCs w:val="22"/>
        </w:rPr>
      </w:pPr>
      <w:smartTag w:uri="urn:schemas-microsoft-com:office:smarttags" w:element="PlaceName">
        <w:r w:rsidRPr="00E422F2">
          <w:rPr>
            <w:b/>
            <w:sz w:val="22"/>
            <w:szCs w:val="22"/>
          </w:rPr>
          <w:t>Tocdog</w:t>
        </w:r>
      </w:smartTag>
      <w:r w:rsidR="00815A02" w:rsidRPr="00E422F2">
        <w:rPr>
          <w:b/>
          <w:sz w:val="22"/>
          <w:szCs w:val="22"/>
        </w:rPr>
        <w:t xml:space="preserve"> </w:t>
      </w:r>
      <w:smartTag w:uri="urn:schemas-microsoft-com:office:smarttags" w:element="PlaceType">
        <w:r w:rsidR="00815A02" w:rsidRPr="00E422F2">
          <w:rPr>
            <w:b/>
            <w:sz w:val="22"/>
            <w:szCs w:val="22"/>
          </w:rPr>
          <w:t>Elementary School</w:t>
        </w:r>
      </w:smartTag>
      <w:r w:rsidR="00815A02" w:rsidRPr="00E422F2">
        <w:rPr>
          <w:b/>
          <w:sz w:val="22"/>
          <w:szCs w:val="22"/>
        </w:rPr>
        <w:t xml:space="preserve">, </w:t>
      </w:r>
      <w:r w:rsidRPr="00E422F2">
        <w:rPr>
          <w:b/>
          <w:sz w:val="22"/>
          <w:szCs w:val="22"/>
        </w:rPr>
        <w:t>Loay, Bohol</w:t>
      </w:r>
      <w:r w:rsidR="00C84EEC" w:rsidRPr="00E422F2">
        <w:rPr>
          <w:b/>
          <w:sz w:val="22"/>
          <w:szCs w:val="22"/>
        </w:rPr>
        <w:t xml:space="preserve"> – Conservation of </w:t>
      </w:r>
      <w:smartTag w:uri="urn:schemas-microsoft-com:office:smarttags" w:element="place">
        <w:smartTag w:uri="urn:schemas-microsoft-com:office:smarttags" w:element="PlaceName">
          <w:r w:rsidR="00C84EEC" w:rsidRPr="00E422F2">
            <w:rPr>
              <w:b/>
              <w:sz w:val="22"/>
              <w:szCs w:val="22"/>
            </w:rPr>
            <w:t>Gabaldon</w:t>
          </w:r>
        </w:smartTag>
        <w:r w:rsidR="00C84EEC" w:rsidRPr="00E422F2">
          <w:rPr>
            <w:b/>
            <w:sz w:val="22"/>
            <w:szCs w:val="22"/>
          </w:rPr>
          <w:t xml:space="preserve"> </w:t>
        </w:r>
        <w:smartTag w:uri="urn:schemas-microsoft-com:office:smarttags" w:element="PlaceType">
          <w:r w:rsidR="00C84EEC" w:rsidRPr="00E422F2">
            <w:rPr>
              <w:b/>
              <w:sz w:val="22"/>
              <w:szCs w:val="22"/>
            </w:rPr>
            <w:t>School</w:t>
          </w:r>
        </w:smartTag>
      </w:smartTag>
    </w:p>
    <w:p w:rsidR="0019433D" w:rsidRPr="00E422F2" w:rsidRDefault="0019433D" w:rsidP="009E4D2F">
      <w:pPr>
        <w:rPr>
          <w:rFonts w:cs="Arial"/>
          <w:sz w:val="21"/>
          <w:szCs w:val="21"/>
        </w:rPr>
      </w:pPr>
    </w:p>
    <w:p w:rsidR="009E4D2F" w:rsidRPr="00E422F2" w:rsidRDefault="0019433D" w:rsidP="009E4D2F">
      <w:pPr>
        <w:rPr>
          <w:sz w:val="21"/>
          <w:szCs w:val="21"/>
        </w:rPr>
      </w:pPr>
      <w:r w:rsidRPr="00E422F2">
        <w:rPr>
          <w:rFonts w:cs="Arial"/>
          <w:sz w:val="21"/>
          <w:szCs w:val="21"/>
        </w:rPr>
        <w:t xml:space="preserve">The </w:t>
      </w:r>
      <w:smartTag w:uri="urn:schemas-microsoft-com:office:smarttags" w:element="PlaceName">
        <w:r w:rsidRPr="00E422F2">
          <w:rPr>
            <w:rFonts w:cs="Arial"/>
            <w:sz w:val="21"/>
            <w:szCs w:val="21"/>
          </w:rPr>
          <w:t>Tocdog</w:t>
        </w:r>
      </w:smartTag>
      <w:r w:rsidRPr="00E422F2">
        <w:rPr>
          <w:rFonts w:cs="Arial"/>
          <w:sz w:val="21"/>
          <w:szCs w:val="21"/>
        </w:rPr>
        <w:t xml:space="preserve"> </w:t>
      </w:r>
      <w:smartTag w:uri="urn:schemas-microsoft-com:office:smarttags" w:element="PlaceType">
        <w:r w:rsidRPr="00E422F2">
          <w:rPr>
            <w:rFonts w:cs="Arial"/>
            <w:sz w:val="21"/>
            <w:szCs w:val="21"/>
          </w:rPr>
          <w:t>Elementary School</w:t>
        </w:r>
      </w:smartTag>
      <w:r w:rsidRPr="00E422F2">
        <w:rPr>
          <w:rFonts w:cs="Arial"/>
          <w:sz w:val="21"/>
          <w:szCs w:val="21"/>
        </w:rPr>
        <w:t xml:space="preserve"> restoration project, the second Gabaldon-type schoolhouse to be conserved by Streetwise Asia, (on </w:t>
      </w:r>
      <w:smartTag w:uri="urn:schemas-microsoft-com:office:smarttags" w:element="PlaceName">
        <w:r w:rsidRPr="00E422F2">
          <w:rPr>
            <w:rFonts w:cs="Arial"/>
            <w:sz w:val="21"/>
            <w:szCs w:val="21"/>
          </w:rPr>
          <w:t>Bohol</w:t>
        </w:r>
      </w:smartTag>
      <w:r w:rsidRPr="00E422F2">
        <w:rPr>
          <w:rFonts w:cs="Arial"/>
          <w:sz w:val="21"/>
          <w:szCs w:val="21"/>
        </w:rPr>
        <w:t xml:space="preserve"> </w:t>
      </w:r>
      <w:smartTag w:uri="urn:schemas-microsoft-com:office:smarttags" w:element="PlaceType">
        <w:r w:rsidRPr="00E422F2">
          <w:rPr>
            <w:rFonts w:cs="Arial"/>
            <w:sz w:val="21"/>
            <w:szCs w:val="21"/>
          </w:rPr>
          <w:t>Island</w:t>
        </w:r>
      </w:smartTag>
      <w:r w:rsidRPr="00E422F2">
        <w:rPr>
          <w:rFonts w:cs="Arial"/>
          <w:sz w:val="21"/>
          <w:szCs w:val="21"/>
        </w:rPr>
        <w:t xml:space="preserve"> in the </w:t>
      </w:r>
      <w:smartTag w:uri="urn:schemas-microsoft-com:office:smarttags" w:element="place">
        <w:r w:rsidRPr="00E422F2">
          <w:rPr>
            <w:rFonts w:cs="Arial"/>
            <w:sz w:val="21"/>
            <w:szCs w:val="21"/>
          </w:rPr>
          <w:t>Southern Philippines</w:t>
        </w:r>
      </w:smartTag>
      <w:r w:rsidRPr="00E422F2">
        <w:rPr>
          <w:rFonts w:cs="Arial"/>
          <w:sz w:val="21"/>
          <w:szCs w:val="21"/>
        </w:rPr>
        <w:t>) has now been completed.  As for the first project</w:t>
      </w:r>
      <w:r w:rsidR="008D1F8B" w:rsidRPr="00E422F2">
        <w:rPr>
          <w:rFonts w:cs="Arial"/>
          <w:sz w:val="21"/>
          <w:szCs w:val="21"/>
        </w:rPr>
        <w:t xml:space="preserve"> in </w:t>
      </w:r>
      <w:smartTag w:uri="urn:schemas-microsoft-com:office:smarttags" w:element="place">
        <w:smartTag w:uri="urn:schemas-microsoft-com:office:smarttags" w:element="PlaceName">
          <w:r w:rsidR="008D1F8B" w:rsidRPr="00E422F2">
            <w:rPr>
              <w:rFonts w:cs="Arial"/>
              <w:sz w:val="21"/>
              <w:szCs w:val="21"/>
            </w:rPr>
            <w:t>Camiguin</w:t>
          </w:r>
        </w:smartTag>
        <w:r w:rsidR="008D1F8B" w:rsidRPr="00E422F2">
          <w:rPr>
            <w:rFonts w:cs="Arial"/>
            <w:sz w:val="21"/>
            <w:szCs w:val="21"/>
          </w:rPr>
          <w:t xml:space="preserve"> </w:t>
        </w:r>
        <w:smartTag w:uri="urn:schemas-microsoft-com:office:smarttags" w:element="PlaceType">
          <w:r w:rsidR="008D1F8B" w:rsidRPr="00E422F2">
            <w:rPr>
              <w:rFonts w:cs="Arial"/>
              <w:sz w:val="21"/>
              <w:szCs w:val="21"/>
            </w:rPr>
            <w:t>Island</w:t>
          </w:r>
        </w:smartTag>
      </w:smartTag>
      <w:r w:rsidRPr="00E422F2">
        <w:rPr>
          <w:rFonts w:cs="Arial"/>
          <w:sz w:val="21"/>
          <w:szCs w:val="21"/>
        </w:rPr>
        <w:t>, a heritage school building in very poor condition has been conserved and restored, with upgraded toilet facilities provided.  The following are photos of this project</w:t>
      </w:r>
      <w:r w:rsidR="00470905" w:rsidRPr="00E422F2">
        <w:rPr>
          <w:rFonts w:cs="Arial"/>
          <w:sz w:val="21"/>
          <w:szCs w:val="21"/>
        </w:rPr>
        <w:t xml:space="preserve"> (including one of the community vegetable garden):</w:t>
      </w:r>
      <w:r w:rsidRPr="00E422F2">
        <w:rPr>
          <w:rFonts w:cs="Arial"/>
          <w:sz w:val="21"/>
          <w:szCs w:val="21"/>
        </w:rPr>
        <w:t xml:space="preserve">  </w:t>
      </w:r>
    </w:p>
    <w:p w:rsidR="0019433D" w:rsidRPr="00E422F2" w:rsidRDefault="0019433D" w:rsidP="009E4D2F">
      <w:pPr>
        <w:rPr>
          <w:sz w:val="21"/>
          <w:szCs w:val="21"/>
        </w:rPr>
      </w:pPr>
    </w:p>
    <w:p w:rsidR="00470905" w:rsidRDefault="00281131" w:rsidP="004B1B93">
      <w:pPr>
        <w:jc w:val="center"/>
      </w:pPr>
      <w:r>
        <w:rPr>
          <w:noProof/>
          <w:lang w:val="en-AU" w:eastAsia="en-AU"/>
        </w:rPr>
        <w:drawing>
          <wp:inline distT="0" distB="0" distL="0" distR="0">
            <wp:extent cx="2663825" cy="1788795"/>
            <wp:effectExtent l="19050" t="0" r="3175" b="0"/>
            <wp:docPr id="1" name="Picture 1" descr="DSC_0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C_0762"/>
                    <pic:cNvPicPr>
                      <a:picLocks noChangeAspect="1" noChangeArrowheads="1"/>
                    </pic:cNvPicPr>
                  </pic:nvPicPr>
                  <pic:blipFill>
                    <a:blip r:embed="rId7" cstate="print"/>
                    <a:srcRect/>
                    <a:stretch>
                      <a:fillRect/>
                    </a:stretch>
                  </pic:blipFill>
                  <pic:spPr bwMode="auto">
                    <a:xfrm>
                      <a:off x="0" y="0"/>
                      <a:ext cx="2663825" cy="1788795"/>
                    </a:xfrm>
                    <a:prstGeom prst="rect">
                      <a:avLst/>
                    </a:prstGeom>
                    <a:noFill/>
                    <a:ln w="9525">
                      <a:noFill/>
                      <a:miter lim="800000"/>
                      <a:headEnd/>
                      <a:tailEnd/>
                    </a:ln>
                  </pic:spPr>
                </pic:pic>
              </a:graphicData>
            </a:graphic>
          </wp:inline>
        </w:drawing>
      </w:r>
      <w:r w:rsidR="00470905">
        <w:t xml:space="preserve">  </w:t>
      </w:r>
      <w:r>
        <w:rPr>
          <w:noProof/>
          <w:lang w:val="en-AU" w:eastAsia="en-AU"/>
        </w:rPr>
        <w:drawing>
          <wp:inline distT="0" distB="0" distL="0" distR="0">
            <wp:extent cx="2663825" cy="1781175"/>
            <wp:effectExtent l="19050" t="0" r="3175" b="0"/>
            <wp:docPr id="2" name="Picture 2" descr="DSC_0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C_0769"/>
                    <pic:cNvPicPr>
                      <a:picLocks noChangeAspect="1" noChangeArrowheads="1"/>
                    </pic:cNvPicPr>
                  </pic:nvPicPr>
                  <pic:blipFill>
                    <a:blip r:embed="rId8" cstate="print"/>
                    <a:srcRect/>
                    <a:stretch>
                      <a:fillRect/>
                    </a:stretch>
                  </pic:blipFill>
                  <pic:spPr bwMode="auto">
                    <a:xfrm>
                      <a:off x="0" y="0"/>
                      <a:ext cx="2663825" cy="1781175"/>
                    </a:xfrm>
                    <a:prstGeom prst="rect">
                      <a:avLst/>
                    </a:prstGeom>
                    <a:noFill/>
                    <a:ln w="9525">
                      <a:noFill/>
                      <a:miter lim="800000"/>
                      <a:headEnd/>
                      <a:tailEnd/>
                    </a:ln>
                  </pic:spPr>
                </pic:pic>
              </a:graphicData>
            </a:graphic>
          </wp:inline>
        </w:drawing>
      </w:r>
    </w:p>
    <w:p w:rsidR="004B1B93" w:rsidRPr="004B1B93" w:rsidRDefault="004B1B93" w:rsidP="004B1B93">
      <w:pPr>
        <w:jc w:val="center"/>
        <w:rPr>
          <w:sz w:val="8"/>
          <w:szCs w:val="8"/>
        </w:rPr>
      </w:pPr>
    </w:p>
    <w:p w:rsidR="004B1B93" w:rsidRDefault="00281131" w:rsidP="004B1B93">
      <w:pPr>
        <w:jc w:val="center"/>
      </w:pPr>
      <w:r>
        <w:rPr>
          <w:noProof/>
          <w:sz w:val="8"/>
          <w:szCs w:val="8"/>
          <w:lang w:val="en-AU" w:eastAsia="en-AU"/>
        </w:rPr>
        <w:drawing>
          <wp:inline distT="0" distB="0" distL="0" distR="0">
            <wp:extent cx="2806700" cy="1948180"/>
            <wp:effectExtent l="19050" t="0" r="0" b="0"/>
            <wp:docPr id="3" name="Picture 3" descr="DSC_0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SC_0771"/>
                    <pic:cNvPicPr>
                      <a:picLocks noChangeAspect="1" noChangeArrowheads="1"/>
                    </pic:cNvPicPr>
                  </pic:nvPicPr>
                  <pic:blipFill>
                    <a:blip r:embed="rId9" cstate="print"/>
                    <a:srcRect/>
                    <a:stretch>
                      <a:fillRect/>
                    </a:stretch>
                  </pic:blipFill>
                  <pic:spPr bwMode="auto">
                    <a:xfrm>
                      <a:off x="0" y="0"/>
                      <a:ext cx="2806700" cy="1948180"/>
                    </a:xfrm>
                    <a:prstGeom prst="rect">
                      <a:avLst/>
                    </a:prstGeom>
                    <a:noFill/>
                    <a:ln w="9525">
                      <a:noFill/>
                      <a:miter lim="800000"/>
                      <a:headEnd/>
                      <a:tailEnd/>
                    </a:ln>
                  </pic:spPr>
                </pic:pic>
              </a:graphicData>
            </a:graphic>
          </wp:inline>
        </w:drawing>
      </w:r>
      <w:r w:rsidR="004B1B93" w:rsidRPr="004B1B93">
        <w:rPr>
          <w:sz w:val="8"/>
          <w:szCs w:val="8"/>
        </w:rPr>
        <w:t xml:space="preserve">  </w:t>
      </w:r>
      <w:r w:rsidR="004B1B93">
        <w:rPr>
          <w:sz w:val="8"/>
          <w:szCs w:val="8"/>
        </w:rPr>
        <w:t xml:space="preserve"> </w:t>
      </w:r>
      <w:r>
        <w:rPr>
          <w:noProof/>
          <w:lang w:val="en-AU" w:eastAsia="en-AU"/>
        </w:rPr>
        <w:drawing>
          <wp:inline distT="0" distB="0" distL="0" distR="0">
            <wp:extent cx="1296035" cy="1955800"/>
            <wp:effectExtent l="19050" t="0" r="0" b="0"/>
            <wp:docPr id="4" name="Picture 4" descr="DSC_0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SC_0812"/>
                    <pic:cNvPicPr>
                      <a:picLocks noChangeAspect="1" noChangeArrowheads="1"/>
                    </pic:cNvPicPr>
                  </pic:nvPicPr>
                  <pic:blipFill>
                    <a:blip r:embed="rId10" cstate="print"/>
                    <a:srcRect/>
                    <a:stretch>
                      <a:fillRect/>
                    </a:stretch>
                  </pic:blipFill>
                  <pic:spPr bwMode="auto">
                    <a:xfrm>
                      <a:off x="0" y="0"/>
                      <a:ext cx="1296035" cy="1955800"/>
                    </a:xfrm>
                    <a:prstGeom prst="rect">
                      <a:avLst/>
                    </a:prstGeom>
                    <a:noFill/>
                    <a:ln w="9525">
                      <a:noFill/>
                      <a:miter lim="800000"/>
                      <a:headEnd/>
                      <a:tailEnd/>
                    </a:ln>
                  </pic:spPr>
                </pic:pic>
              </a:graphicData>
            </a:graphic>
          </wp:inline>
        </w:drawing>
      </w:r>
    </w:p>
    <w:p w:rsidR="004B1B93" w:rsidRPr="004B1B93" w:rsidRDefault="004B1B93" w:rsidP="004B1B93">
      <w:pPr>
        <w:jc w:val="center"/>
        <w:rPr>
          <w:sz w:val="8"/>
          <w:szCs w:val="8"/>
        </w:rPr>
      </w:pPr>
    </w:p>
    <w:p w:rsidR="0019433D" w:rsidRDefault="00281131" w:rsidP="004B1B93">
      <w:pPr>
        <w:jc w:val="center"/>
      </w:pPr>
      <w:r>
        <w:rPr>
          <w:noProof/>
          <w:lang w:val="en-AU" w:eastAsia="en-AU"/>
        </w:rPr>
        <w:drawing>
          <wp:inline distT="0" distB="0" distL="0" distR="0">
            <wp:extent cx="2663825" cy="1781175"/>
            <wp:effectExtent l="19050" t="0" r="3175" b="0"/>
            <wp:docPr id="5" name="Picture 5" descr="DSC_0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SC_0776"/>
                    <pic:cNvPicPr>
                      <a:picLocks noChangeAspect="1" noChangeArrowheads="1"/>
                    </pic:cNvPicPr>
                  </pic:nvPicPr>
                  <pic:blipFill>
                    <a:blip r:embed="rId11" cstate="print"/>
                    <a:srcRect/>
                    <a:stretch>
                      <a:fillRect/>
                    </a:stretch>
                  </pic:blipFill>
                  <pic:spPr bwMode="auto">
                    <a:xfrm>
                      <a:off x="0" y="0"/>
                      <a:ext cx="2663825" cy="1781175"/>
                    </a:xfrm>
                    <a:prstGeom prst="rect">
                      <a:avLst/>
                    </a:prstGeom>
                    <a:noFill/>
                    <a:ln w="9525">
                      <a:noFill/>
                      <a:miter lim="800000"/>
                      <a:headEnd/>
                      <a:tailEnd/>
                    </a:ln>
                  </pic:spPr>
                </pic:pic>
              </a:graphicData>
            </a:graphic>
          </wp:inline>
        </w:drawing>
      </w:r>
      <w:r w:rsidR="004B1B93">
        <w:t xml:space="preserve">  </w:t>
      </w:r>
      <w:r>
        <w:rPr>
          <w:noProof/>
          <w:lang w:val="en-AU" w:eastAsia="en-AU"/>
        </w:rPr>
        <w:drawing>
          <wp:inline distT="0" distB="0" distL="0" distR="0">
            <wp:extent cx="2663825" cy="1788795"/>
            <wp:effectExtent l="19050" t="0" r="3175" b="0"/>
            <wp:docPr id="6" name="Picture 6" descr="DSC_0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SC_0794"/>
                    <pic:cNvPicPr>
                      <a:picLocks noChangeAspect="1" noChangeArrowheads="1"/>
                    </pic:cNvPicPr>
                  </pic:nvPicPr>
                  <pic:blipFill>
                    <a:blip r:embed="rId12" cstate="print"/>
                    <a:srcRect/>
                    <a:stretch>
                      <a:fillRect/>
                    </a:stretch>
                  </pic:blipFill>
                  <pic:spPr bwMode="auto">
                    <a:xfrm>
                      <a:off x="0" y="0"/>
                      <a:ext cx="2663825" cy="1788795"/>
                    </a:xfrm>
                    <a:prstGeom prst="rect">
                      <a:avLst/>
                    </a:prstGeom>
                    <a:noFill/>
                    <a:ln w="9525">
                      <a:noFill/>
                      <a:miter lim="800000"/>
                      <a:headEnd/>
                      <a:tailEnd/>
                    </a:ln>
                  </pic:spPr>
                </pic:pic>
              </a:graphicData>
            </a:graphic>
          </wp:inline>
        </w:drawing>
      </w:r>
    </w:p>
    <w:p w:rsidR="0019433D" w:rsidRPr="004B1B93" w:rsidRDefault="0019433D" w:rsidP="004B1B93">
      <w:pPr>
        <w:jc w:val="center"/>
        <w:rPr>
          <w:sz w:val="8"/>
          <w:szCs w:val="8"/>
        </w:rPr>
      </w:pPr>
    </w:p>
    <w:p w:rsidR="0019433D" w:rsidRPr="004B1B93" w:rsidRDefault="00281131" w:rsidP="004B1B93">
      <w:pPr>
        <w:jc w:val="center"/>
        <w:rPr>
          <w:sz w:val="8"/>
          <w:szCs w:val="8"/>
        </w:rPr>
      </w:pPr>
      <w:r>
        <w:rPr>
          <w:noProof/>
          <w:sz w:val="8"/>
          <w:szCs w:val="8"/>
          <w:lang w:val="en-AU" w:eastAsia="en-AU"/>
        </w:rPr>
        <w:lastRenderedPageBreak/>
        <w:drawing>
          <wp:inline distT="0" distB="0" distL="0" distR="0">
            <wp:extent cx="2663825" cy="1781175"/>
            <wp:effectExtent l="19050" t="0" r="3175" b="0"/>
            <wp:docPr id="7" name="Picture 7" descr="DSC_0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SC_0802"/>
                    <pic:cNvPicPr>
                      <a:picLocks noChangeAspect="1" noChangeArrowheads="1"/>
                    </pic:cNvPicPr>
                  </pic:nvPicPr>
                  <pic:blipFill>
                    <a:blip r:embed="rId13" cstate="print"/>
                    <a:srcRect/>
                    <a:stretch>
                      <a:fillRect/>
                    </a:stretch>
                  </pic:blipFill>
                  <pic:spPr bwMode="auto">
                    <a:xfrm>
                      <a:off x="0" y="0"/>
                      <a:ext cx="2663825" cy="1781175"/>
                    </a:xfrm>
                    <a:prstGeom prst="rect">
                      <a:avLst/>
                    </a:prstGeom>
                    <a:noFill/>
                    <a:ln w="9525">
                      <a:noFill/>
                      <a:miter lim="800000"/>
                      <a:headEnd/>
                      <a:tailEnd/>
                    </a:ln>
                  </pic:spPr>
                </pic:pic>
              </a:graphicData>
            </a:graphic>
          </wp:inline>
        </w:drawing>
      </w:r>
      <w:r w:rsidR="004B1B93" w:rsidRPr="004B1B93">
        <w:rPr>
          <w:sz w:val="8"/>
          <w:szCs w:val="8"/>
        </w:rPr>
        <w:t xml:space="preserve">  </w:t>
      </w:r>
      <w:r>
        <w:rPr>
          <w:noProof/>
          <w:sz w:val="8"/>
          <w:szCs w:val="8"/>
          <w:lang w:val="en-AU" w:eastAsia="en-AU"/>
        </w:rPr>
        <w:drawing>
          <wp:inline distT="0" distB="0" distL="0" distR="0">
            <wp:extent cx="2663825" cy="1788795"/>
            <wp:effectExtent l="19050" t="0" r="3175" b="0"/>
            <wp:docPr id="8" name="Picture 8" descr="DSC_0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SC_0798"/>
                    <pic:cNvPicPr>
                      <a:picLocks noChangeAspect="1" noChangeArrowheads="1"/>
                    </pic:cNvPicPr>
                  </pic:nvPicPr>
                  <pic:blipFill>
                    <a:blip r:embed="rId14" cstate="print"/>
                    <a:srcRect/>
                    <a:stretch>
                      <a:fillRect/>
                    </a:stretch>
                  </pic:blipFill>
                  <pic:spPr bwMode="auto">
                    <a:xfrm>
                      <a:off x="0" y="0"/>
                      <a:ext cx="2663825" cy="1788795"/>
                    </a:xfrm>
                    <a:prstGeom prst="rect">
                      <a:avLst/>
                    </a:prstGeom>
                    <a:noFill/>
                    <a:ln w="9525">
                      <a:noFill/>
                      <a:miter lim="800000"/>
                      <a:headEnd/>
                      <a:tailEnd/>
                    </a:ln>
                  </pic:spPr>
                </pic:pic>
              </a:graphicData>
            </a:graphic>
          </wp:inline>
        </w:drawing>
      </w:r>
    </w:p>
    <w:p w:rsidR="0019433D" w:rsidRDefault="0019433D" w:rsidP="009E4D2F"/>
    <w:p w:rsidR="00980CCF" w:rsidRPr="00086DEC" w:rsidRDefault="008D1F8B" w:rsidP="00980CCF">
      <w:pPr>
        <w:rPr>
          <w:rFonts w:cs="Arial"/>
          <w:sz w:val="22"/>
          <w:szCs w:val="22"/>
        </w:rPr>
      </w:pPr>
      <w:r w:rsidRPr="00E422F2">
        <w:rPr>
          <w:rFonts w:cs="Arial"/>
          <w:b/>
          <w:sz w:val="21"/>
          <w:szCs w:val="21"/>
        </w:rPr>
        <w:t>General information</w:t>
      </w:r>
      <w:r w:rsidR="0019433D" w:rsidRPr="00E422F2">
        <w:rPr>
          <w:rFonts w:cs="Arial"/>
          <w:b/>
          <w:sz w:val="21"/>
          <w:szCs w:val="21"/>
        </w:rPr>
        <w:t xml:space="preserve"> on the “Gabaldon Schools” - </w:t>
      </w:r>
      <w:r w:rsidR="0019433D" w:rsidRPr="00E422F2">
        <w:rPr>
          <w:rFonts w:cs="Arial"/>
          <w:sz w:val="21"/>
          <w:szCs w:val="21"/>
        </w:rPr>
        <w:t xml:space="preserve">these </w:t>
      </w:r>
      <w:r w:rsidRPr="00E422F2">
        <w:rPr>
          <w:rFonts w:cs="Arial"/>
          <w:sz w:val="21"/>
          <w:szCs w:val="21"/>
        </w:rPr>
        <w:t xml:space="preserve">schools </w:t>
      </w:r>
      <w:r w:rsidR="0019433D" w:rsidRPr="00E422F2">
        <w:rPr>
          <w:rFonts w:cs="Arial"/>
          <w:sz w:val="21"/>
          <w:szCs w:val="21"/>
        </w:rPr>
        <w:t xml:space="preserve">are now widely recognised in the Philippines for their heritage value as an important group of approximately 3000 school buildings erected during the American colonial period (1898 – 1946).  Many are in a poor condition (or empty due to neglect) and are under appreciated for their potential resource as restored school buildings or adaptive reuse for other community uses.  The </w:t>
      </w:r>
      <w:r w:rsidR="0019433D" w:rsidRPr="00086DEC">
        <w:rPr>
          <w:rFonts w:cs="Arial"/>
          <w:sz w:val="21"/>
          <w:szCs w:val="21"/>
        </w:rPr>
        <w:t xml:space="preserve">Philippines Education Department has previously initiated a program to undertake maintenance work on the Gabaldon Schools, but with over 3,000 in existence, many are in poor condition or derelict and the task is overwhelming.  The AusAID and </w:t>
      </w:r>
      <w:r w:rsidR="0019433D" w:rsidRPr="00086DEC">
        <w:rPr>
          <w:rFonts w:cs="Arial"/>
          <w:i/>
          <w:sz w:val="21"/>
          <w:szCs w:val="21"/>
        </w:rPr>
        <w:t>Streetwise</w:t>
      </w:r>
      <w:r w:rsidR="0019433D" w:rsidRPr="00086DEC">
        <w:rPr>
          <w:rFonts w:cs="Arial"/>
          <w:sz w:val="21"/>
          <w:szCs w:val="21"/>
        </w:rPr>
        <w:t xml:space="preserve"> commitment has put funding possibilities on a new level.  AusAID have indicated their interest in continuing their participation in the Gabaldon Restoration Program together with DepEd and the Heritage Conservation Society.  </w:t>
      </w:r>
      <w:r w:rsidR="00980CCF" w:rsidRPr="00086DEC">
        <w:rPr>
          <w:rFonts w:cs="Arial"/>
          <w:sz w:val="21"/>
          <w:szCs w:val="22"/>
        </w:rPr>
        <w:t xml:space="preserve">It has been demonstrated that the cost of conserving and upgrading a heritage building can match the </w:t>
      </w:r>
      <w:r w:rsidR="00086DEC" w:rsidRPr="00086DEC">
        <w:rPr>
          <w:rFonts w:cs="Arial"/>
          <w:sz w:val="21"/>
          <w:szCs w:val="22"/>
        </w:rPr>
        <w:t>cost of a new</w:t>
      </w:r>
      <w:r w:rsidR="00980CCF" w:rsidRPr="00086DEC">
        <w:rPr>
          <w:rFonts w:cs="Arial"/>
          <w:sz w:val="21"/>
          <w:szCs w:val="22"/>
        </w:rPr>
        <w:t xml:space="preserve"> classroom building of equivalent area. This conservation approach has huge potential.  There is no comparison between a Gabaldon School, (with its high ceilings, timber windows and elegant detailing) and a new concrete and steel  classroom building, but classroom provision is the primary consideration of AusAID and Philippines DepEd.  </w:t>
      </w:r>
    </w:p>
    <w:p w:rsidR="0019433D" w:rsidRPr="00086DEC" w:rsidRDefault="0019433D" w:rsidP="0019433D">
      <w:pPr>
        <w:rPr>
          <w:rFonts w:cs="Arial"/>
          <w:sz w:val="21"/>
          <w:szCs w:val="21"/>
        </w:rPr>
      </w:pPr>
    </w:p>
    <w:p w:rsidR="0019433D" w:rsidRPr="00E422F2" w:rsidRDefault="0019433D" w:rsidP="0019433D">
      <w:pPr>
        <w:rPr>
          <w:rFonts w:cs="Arial"/>
          <w:sz w:val="21"/>
          <w:szCs w:val="21"/>
        </w:rPr>
      </w:pPr>
      <w:r w:rsidRPr="00086DEC">
        <w:rPr>
          <w:rFonts w:cs="Arial"/>
          <w:sz w:val="21"/>
          <w:szCs w:val="21"/>
        </w:rPr>
        <w:t>The two completed Streetwise projects have resulted in new and important partnerships</w:t>
      </w:r>
      <w:r w:rsidRPr="00E422F2">
        <w:rPr>
          <w:rFonts w:cs="Arial"/>
          <w:sz w:val="21"/>
          <w:szCs w:val="21"/>
        </w:rPr>
        <w:t xml:space="preserve"> being generated between </w:t>
      </w:r>
      <w:r w:rsidRPr="00E422F2">
        <w:rPr>
          <w:rFonts w:cs="Arial"/>
          <w:i/>
          <w:sz w:val="21"/>
          <w:szCs w:val="21"/>
        </w:rPr>
        <w:t>Streetwise</w:t>
      </w:r>
      <w:r w:rsidRPr="00E422F2">
        <w:rPr>
          <w:rFonts w:cs="Arial"/>
          <w:sz w:val="21"/>
          <w:szCs w:val="21"/>
        </w:rPr>
        <w:t xml:space="preserve">, AusAID, the Philippines Department of Education, Philippines ICOMOS and the Philippines Heritage Conservation Society all of whom have in some way been involved in the school projects.  </w:t>
      </w:r>
    </w:p>
    <w:p w:rsidR="0019433D" w:rsidRPr="00E422F2" w:rsidRDefault="0019433D" w:rsidP="0019433D">
      <w:pPr>
        <w:rPr>
          <w:rFonts w:cs="Arial"/>
          <w:sz w:val="21"/>
          <w:szCs w:val="21"/>
        </w:rPr>
      </w:pPr>
    </w:p>
    <w:p w:rsidR="0019433D" w:rsidRPr="00E422F2" w:rsidRDefault="0019433D" w:rsidP="0019433D">
      <w:pPr>
        <w:rPr>
          <w:rFonts w:cs="Arial"/>
          <w:sz w:val="21"/>
          <w:szCs w:val="21"/>
        </w:rPr>
      </w:pPr>
      <w:r w:rsidRPr="00E422F2">
        <w:rPr>
          <w:rFonts w:cs="Arial"/>
          <w:sz w:val="21"/>
          <w:szCs w:val="21"/>
        </w:rPr>
        <w:t xml:space="preserve">In visiting other possible future schools for </w:t>
      </w:r>
      <w:r w:rsidRPr="00E422F2">
        <w:rPr>
          <w:rFonts w:cs="Arial"/>
          <w:i/>
          <w:sz w:val="21"/>
          <w:szCs w:val="21"/>
        </w:rPr>
        <w:t>Streetwise</w:t>
      </w:r>
      <w:r w:rsidRPr="00E422F2">
        <w:rPr>
          <w:rFonts w:cs="Arial"/>
          <w:sz w:val="21"/>
          <w:szCs w:val="21"/>
        </w:rPr>
        <w:t xml:space="preserve"> support, both Liz Vines </w:t>
      </w:r>
      <w:r w:rsidR="008D1F8B" w:rsidRPr="00E422F2">
        <w:rPr>
          <w:rFonts w:cs="Arial"/>
          <w:sz w:val="21"/>
          <w:szCs w:val="21"/>
        </w:rPr>
        <w:t xml:space="preserve">(the Streetwise Asia Coordinator) </w:t>
      </w:r>
      <w:r w:rsidRPr="00E422F2">
        <w:rPr>
          <w:rFonts w:cs="Arial"/>
          <w:sz w:val="21"/>
          <w:szCs w:val="21"/>
        </w:rPr>
        <w:t xml:space="preserve">and Bruce Dawbin </w:t>
      </w:r>
      <w:r w:rsidR="008D1F8B" w:rsidRPr="00E422F2">
        <w:rPr>
          <w:rFonts w:cs="Arial"/>
          <w:sz w:val="21"/>
          <w:szCs w:val="21"/>
        </w:rPr>
        <w:t xml:space="preserve">(volunteer conservation architect for the projects) </w:t>
      </w:r>
      <w:r w:rsidRPr="00E422F2">
        <w:rPr>
          <w:rFonts w:cs="Arial"/>
          <w:sz w:val="21"/>
          <w:szCs w:val="21"/>
        </w:rPr>
        <w:t xml:space="preserve">have been deeply affected by the lack of provisions for basic education.  Classrooms with 40 – 50 children are common, and one typical primary school had 800 students, with one computer and no printer!  We have so much that we take for granted in our Australian education system.  Bruce has </w:t>
      </w:r>
      <w:r w:rsidR="008D1F8B" w:rsidRPr="00E422F2">
        <w:rPr>
          <w:rFonts w:cs="Arial"/>
          <w:sz w:val="21"/>
          <w:szCs w:val="21"/>
        </w:rPr>
        <w:t>also now facilitated the donation of</w:t>
      </w:r>
      <w:r w:rsidRPr="00E422F2">
        <w:rPr>
          <w:rFonts w:cs="Arial"/>
          <w:sz w:val="21"/>
          <w:szCs w:val="21"/>
        </w:rPr>
        <w:t xml:space="preserve"> second hand lap tops and phones, which have transformed the local teacher’s capacity.  </w:t>
      </w:r>
    </w:p>
    <w:p w:rsidR="0019433D" w:rsidRPr="00E422F2" w:rsidRDefault="0019433D" w:rsidP="0019433D">
      <w:pPr>
        <w:rPr>
          <w:rFonts w:cs="Arial"/>
          <w:sz w:val="21"/>
          <w:szCs w:val="21"/>
        </w:rPr>
      </w:pPr>
    </w:p>
    <w:p w:rsidR="0019433D" w:rsidRPr="00E422F2" w:rsidRDefault="0019433D" w:rsidP="0019433D">
      <w:pPr>
        <w:rPr>
          <w:rFonts w:cs="Arial"/>
          <w:sz w:val="21"/>
          <w:szCs w:val="21"/>
        </w:rPr>
      </w:pPr>
      <w:r w:rsidRPr="00E422F2">
        <w:rPr>
          <w:rFonts w:cs="Arial"/>
          <w:sz w:val="21"/>
          <w:szCs w:val="21"/>
        </w:rPr>
        <w:t xml:space="preserve">For more information on the Kuguita project, see the </w:t>
      </w:r>
      <w:r w:rsidRPr="00E422F2">
        <w:rPr>
          <w:rFonts w:cs="Arial"/>
          <w:i/>
          <w:sz w:val="21"/>
          <w:szCs w:val="21"/>
        </w:rPr>
        <w:t>Philippine Enquirer</w:t>
      </w:r>
      <w:r w:rsidRPr="00E422F2">
        <w:rPr>
          <w:rFonts w:cs="Arial"/>
          <w:sz w:val="21"/>
          <w:szCs w:val="21"/>
        </w:rPr>
        <w:t xml:space="preserve"> article of 22 May</w:t>
      </w:r>
      <w:r w:rsidRPr="00E422F2">
        <w:rPr>
          <w:sz w:val="21"/>
          <w:szCs w:val="21"/>
        </w:rPr>
        <w:t>&lt;</w:t>
      </w:r>
      <w:hyperlink r:id="rId15" w:tgtFrame="_blank" w:history="1">
        <w:r w:rsidRPr="00E422F2">
          <w:rPr>
            <w:rStyle w:val="Hyperlink"/>
            <w:sz w:val="21"/>
            <w:szCs w:val="21"/>
          </w:rPr>
          <w:t>http://lifestyle.inquirer.net/artsandbooks/artsandbooks/view/20100524-271665/Philippine-Australian_cooperation_restores__Gabaldon-type_school_in_Camiguin</w:t>
        </w:r>
      </w:hyperlink>
      <w:r w:rsidRPr="00E422F2">
        <w:rPr>
          <w:sz w:val="21"/>
          <w:szCs w:val="21"/>
        </w:rPr>
        <w:t>&gt;</w:t>
      </w:r>
    </w:p>
    <w:p w:rsidR="0019433D" w:rsidRPr="00E422F2" w:rsidRDefault="0019433D" w:rsidP="0019433D">
      <w:pPr>
        <w:rPr>
          <w:rFonts w:cs="Arial"/>
          <w:sz w:val="21"/>
          <w:szCs w:val="21"/>
        </w:rPr>
      </w:pPr>
    </w:p>
    <w:p w:rsidR="00086DEC" w:rsidRPr="00755C02" w:rsidRDefault="00086DEC" w:rsidP="00086DEC">
      <w:pPr>
        <w:rPr>
          <w:rFonts w:cs="Arial"/>
          <w:sz w:val="21"/>
          <w:szCs w:val="21"/>
        </w:rPr>
      </w:pPr>
      <w:r w:rsidRPr="00755C02">
        <w:rPr>
          <w:rFonts w:cs="Arial"/>
          <w:sz w:val="21"/>
          <w:szCs w:val="21"/>
        </w:rPr>
        <w:t xml:space="preserve">Or contact Liz Vines on </w:t>
      </w:r>
      <w:hyperlink r:id="rId16" w:history="1">
        <w:r w:rsidRPr="00755C02">
          <w:rPr>
            <w:rStyle w:val="Hyperlink"/>
            <w:rFonts w:cs="Arial"/>
            <w:sz w:val="21"/>
            <w:szCs w:val="21"/>
          </w:rPr>
          <w:t>liz@mcdougallvines.com.au</w:t>
        </w:r>
      </w:hyperlink>
      <w:r w:rsidRPr="00755C02">
        <w:rPr>
          <w:rFonts w:cs="Arial"/>
          <w:sz w:val="21"/>
          <w:szCs w:val="21"/>
        </w:rPr>
        <w:t xml:space="preserve"> </w:t>
      </w:r>
      <w:r w:rsidRPr="00755C02">
        <w:rPr>
          <w:rFonts w:cs="Arial"/>
          <w:bCs/>
          <w:sz w:val="21"/>
          <w:szCs w:val="21"/>
        </w:rPr>
        <w:t>or 0419</w:t>
      </w:r>
      <w:r>
        <w:rPr>
          <w:rFonts w:cs="Arial"/>
          <w:bCs/>
          <w:sz w:val="21"/>
          <w:szCs w:val="21"/>
        </w:rPr>
        <w:t xml:space="preserve"> </w:t>
      </w:r>
      <w:r w:rsidRPr="00755C02">
        <w:rPr>
          <w:rFonts w:cs="Arial"/>
          <w:bCs/>
          <w:sz w:val="21"/>
          <w:szCs w:val="21"/>
        </w:rPr>
        <w:t>816</w:t>
      </w:r>
      <w:r>
        <w:rPr>
          <w:rFonts w:cs="Arial"/>
          <w:bCs/>
          <w:sz w:val="21"/>
          <w:szCs w:val="21"/>
        </w:rPr>
        <w:t xml:space="preserve"> </w:t>
      </w:r>
      <w:r w:rsidRPr="00755C02">
        <w:rPr>
          <w:rFonts w:cs="Arial"/>
          <w:bCs/>
          <w:sz w:val="21"/>
          <w:szCs w:val="21"/>
        </w:rPr>
        <w:t xml:space="preserve">525 </w:t>
      </w:r>
      <w:r w:rsidRPr="00755C02">
        <w:rPr>
          <w:rFonts w:cs="Arial"/>
          <w:sz w:val="21"/>
          <w:szCs w:val="21"/>
        </w:rPr>
        <w:t xml:space="preserve">if you are interested in further information or helping in any way with the </w:t>
      </w:r>
      <w:r w:rsidRPr="00755C02">
        <w:rPr>
          <w:rFonts w:cs="Arial"/>
          <w:i/>
          <w:sz w:val="21"/>
          <w:szCs w:val="21"/>
        </w:rPr>
        <w:t xml:space="preserve">Streetwise </w:t>
      </w:r>
      <w:r w:rsidRPr="00755C02">
        <w:rPr>
          <w:rFonts w:cs="Arial"/>
          <w:sz w:val="21"/>
          <w:szCs w:val="21"/>
        </w:rPr>
        <w:t xml:space="preserve">fund project.  </w:t>
      </w:r>
    </w:p>
    <w:p w:rsidR="00086DEC" w:rsidRPr="00755C02" w:rsidRDefault="00086DEC" w:rsidP="00086DEC">
      <w:pPr>
        <w:rPr>
          <w:rFonts w:cs="Arial"/>
          <w:sz w:val="21"/>
          <w:szCs w:val="21"/>
        </w:rPr>
      </w:pPr>
    </w:p>
    <w:sectPr w:rsidR="00086DEC" w:rsidRPr="00755C02">
      <w:pgSz w:w="12240" w:h="15840"/>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A2A9A" w:rsidRDefault="00AA2A9A" w:rsidP="00EA7641">
      <w:r>
        <w:separator/>
      </w:r>
    </w:p>
  </w:endnote>
  <w:endnote w:type="continuationSeparator" w:id="0">
    <w:p w:rsidR="00AA2A9A" w:rsidRDefault="00AA2A9A" w:rsidP="00EA764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Helvetica Narrow">
    <w:altName w:val="Arial Narrow"/>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A2A9A" w:rsidRDefault="00AA2A9A" w:rsidP="00EA7641">
      <w:r>
        <w:separator/>
      </w:r>
    </w:p>
  </w:footnote>
  <w:footnote w:type="continuationSeparator" w:id="0">
    <w:p w:rsidR="00AA2A9A" w:rsidRDefault="00AA2A9A" w:rsidP="00EA764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79268A"/>
    <w:multiLevelType w:val="hybridMultilevel"/>
    <w:tmpl w:val="7FF455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7959F1"/>
    <w:multiLevelType w:val="hybridMultilevel"/>
    <w:tmpl w:val="E6F877DC"/>
    <w:lvl w:ilvl="0" w:tplc="B380CB62">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F7C3060"/>
    <w:multiLevelType w:val="hybridMultilevel"/>
    <w:tmpl w:val="08DAFE6A"/>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FDA41A4"/>
    <w:multiLevelType w:val="hybridMultilevel"/>
    <w:tmpl w:val="09C070AC"/>
    <w:lvl w:ilvl="0" w:tplc="04090003">
      <w:start w:val="1"/>
      <w:numFmt w:val="bullet"/>
      <w:lvlText w:val="o"/>
      <w:lvlJc w:val="left"/>
      <w:pPr>
        <w:tabs>
          <w:tab w:val="num" w:pos="1080"/>
        </w:tabs>
        <w:ind w:left="1080" w:hanging="360"/>
      </w:pPr>
      <w:rPr>
        <w:rFonts w:ascii="Courier New" w:hAnsi="Courier New" w:cs="Courier New"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nsid w:val="1C04021B"/>
    <w:multiLevelType w:val="hybridMultilevel"/>
    <w:tmpl w:val="D9D694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21DA687A"/>
    <w:multiLevelType w:val="hybridMultilevel"/>
    <w:tmpl w:val="AAA6395E"/>
    <w:lvl w:ilvl="0" w:tplc="04090003">
      <w:start w:val="1"/>
      <w:numFmt w:val="bullet"/>
      <w:lvlText w:val="o"/>
      <w:lvlJc w:val="left"/>
      <w:pPr>
        <w:tabs>
          <w:tab w:val="num" w:pos="360"/>
        </w:tabs>
        <w:ind w:left="360" w:hanging="360"/>
      </w:pPr>
      <w:rPr>
        <w:rFonts w:ascii="Courier New" w:hAnsi="Courier New" w:cs="Courier New"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nsid w:val="21E05517"/>
    <w:multiLevelType w:val="hybridMultilevel"/>
    <w:tmpl w:val="310E4A92"/>
    <w:lvl w:ilvl="0" w:tplc="04090003">
      <w:start w:val="1"/>
      <w:numFmt w:val="bullet"/>
      <w:lvlText w:val="o"/>
      <w:lvlJc w:val="left"/>
      <w:pPr>
        <w:tabs>
          <w:tab w:val="num" w:pos="1080"/>
        </w:tabs>
        <w:ind w:left="1080" w:hanging="360"/>
      </w:pPr>
      <w:rPr>
        <w:rFonts w:ascii="Courier New" w:hAnsi="Courier New" w:cs="Courier New"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nsid w:val="21E16474"/>
    <w:multiLevelType w:val="hybridMultilevel"/>
    <w:tmpl w:val="21BA4AE6"/>
    <w:lvl w:ilvl="0" w:tplc="04090003">
      <w:start w:val="1"/>
      <w:numFmt w:val="bullet"/>
      <w:lvlText w:val="o"/>
      <w:lvlJc w:val="left"/>
      <w:pPr>
        <w:tabs>
          <w:tab w:val="num" w:pos="360"/>
        </w:tabs>
        <w:ind w:left="360" w:hanging="360"/>
      </w:pPr>
      <w:rPr>
        <w:rFonts w:ascii="Courier New" w:hAnsi="Courier New" w:cs="Courier New"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nsid w:val="2EF11922"/>
    <w:multiLevelType w:val="hybridMultilevel"/>
    <w:tmpl w:val="AD587572"/>
    <w:lvl w:ilvl="0" w:tplc="B380CB62">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A8C4AB4"/>
    <w:multiLevelType w:val="hybridMultilevel"/>
    <w:tmpl w:val="3F76F34C"/>
    <w:lvl w:ilvl="0" w:tplc="04090003">
      <w:start w:val="1"/>
      <w:numFmt w:val="bullet"/>
      <w:lvlText w:val="o"/>
      <w:lvlJc w:val="left"/>
      <w:pPr>
        <w:tabs>
          <w:tab w:val="num" w:pos="2160"/>
        </w:tabs>
        <w:ind w:left="2160" w:hanging="360"/>
      </w:pPr>
      <w:rPr>
        <w:rFonts w:ascii="Courier New" w:hAnsi="Courier New" w:cs="Courier New"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0">
    <w:nsid w:val="45BF6185"/>
    <w:multiLevelType w:val="hybridMultilevel"/>
    <w:tmpl w:val="114AB99C"/>
    <w:lvl w:ilvl="0" w:tplc="04090003">
      <w:start w:val="1"/>
      <w:numFmt w:val="bullet"/>
      <w:lvlText w:val="o"/>
      <w:lvlJc w:val="left"/>
      <w:pPr>
        <w:tabs>
          <w:tab w:val="num" w:pos="1080"/>
        </w:tabs>
        <w:ind w:left="1080" w:hanging="360"/>
      </w:pPr>
      <w:rPr>
        <w:rFonts w:ascii="Courier New" w:hAnsi="Courier New" w:cs="Courier New"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nsid w:val="4E9F62D6"/>
    <w:multiLevelType w:val="hybridMultilevel"/>
    <w:tmpl w:val="66649F36"/>
    <w:lvl w:ilvl="0" w:tplc="2902A066">
      <w:start w:val="1"/>
      <w:numFmt w:val="decimal"/>
      <w:lvlText w:val="%1"/>
      <w:lvlJc w:val="left"/>
      <w:pPr>
        <w:tabs>
          <w:tab w:val="num" w:pos="1080"/>
        </w:tabs>
        <w:ind w:left="1080" w:hanging="720"/>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5F8659F9"/>
    <w:multiLevelType w:val="hybridMultilevel"/>
    <w:tmpl w:val="D46600D4"/>
    <w:lvl w:ilvl="0" w:tplc="04090003">
      <w:start w:val="1"/>
      <w:numFmt w:val="bullet"/>
      <w:lvlText w:val="o"/>
      <w:lvlJc w:val="left"/>
      <w:pPr>
        <w:tabs>
          <w:tab w:val="num" w:pos="360"/>
        </w:tabs>
        <w:ind w:left="360" w:hanging="360"/>
      </w:pPr>
      <w:rPr>
        <w:rFonts w:ascii="Courier New" w:hAnsi="Courier New" w:cs="Courier New"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nsid w:val="67946E08"/>
    <w:multiLevelType w:val="hybridMultilevel"/>
    <w:tmpl w:val="01D82080"/>
    <w:lvl w:ilvl="0" w:tplc="04090003">
      <w:start w:val="1"/>
      <w:numFmt w:val="bullet"/>
      <w:lvlText w:val="o"/>
      <w:lvlJc w:val="left"/>
      <w:pPr>
        <w:tabs>
          <w:tab w:val="num" w:pos="1080"/>
        </w:tabs>
        <w:ind w:left="1080" w:hanging="360"/>
      </w:pPr>
      <w:rPr>
        <w:rFonts w:ascii="Courier New" w:hAnsi="Courier New" w:cs="Courier New"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nsid w:val="67F8588E"/>
    <w:multiLevelType w:val="hybridMultilevel"/>
    <w:tmpl w:val="34D4F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55623F4"/>
    <w:multiLevelType w:val="hybridMultilevel"/>
    <w:tmpl w:val="0E3C973E"/>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77E144C4"/>
    <w:multiLevelType w:val="hybridMultilevel"/>
    <w:tmpl w:val="8AE858AE"/>
    <w:lvl w:ilvl="0" w:tplc="04090003">
      <w:start w:val="1"/>
      <w:numFmt w:val="bullet"/>
      <w:lvlText w:val="o"/>
      <w:lvlJc w:val="left"/>
      <w:pPr>
        <w:tabs>
          <w:tab w:val="num" w:pos="360"/>
        </w:tabs>
        <w:ind w:left="360" w:hanging="360"/>
      </w:pPr>
      <w:rPr>
        <w:rFonts w:ascii="Courier New" w:hAnsi="Courier New" w:cs="Courier New"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15"/>
  </w:num>
  <w:num w:numId="4">
    <w:abstractNumId w:val="9"/>
  </w:num>
  <w:num w:numId="5">
    <w:abstractNumId w:val="10"/>
  </w:num>
  <w:num w:numId="6">
    <w:abstractNumId w:val="3"/>
  </w:num>
  <w:num w:numId="7">
    <w:abstractNumId w:val="13"/>
  </w:num>
  <w:num w:numId="8">
    <w:abstractNumId w:val="6"/>
  </w:num>
  <w:num w:numId="9">
    <w:abstractNumId w:val="5"/>
  </w:num>
  <w:num w:numId="10">
    <w:abstractNumId w:val="7"/>
  </w:num>
  <w:num w:numId="11">
    <w:abstractNumId w:val="12"/>
  </w:num>
  <w:num w:numId="12">
    <w:abstractNumId w:val="16"/>
  </w:num>
  <w:num w:numId="13">
    <w:abstractNumId w:val="2"/>
  </w:num>
  <w:num w:numId="14">
    <w:abstractNumId w:val="1"/>
  </w:num>
  <w:num w:numId="15">
    <w:abstractNumId w:val="14"/>
  </w:num>
  <w:num w:numId="16">
    <w:abstractNumId w:val="4"/>
  </w:num>
  <w:num w:numId="17">
    <w:abstractNumId w:val="0"/>
  </w:num>
  <w:num w:numId="18">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stylePaneFormatFilter w:val="3F01"/>
  <w:defaultTabStop w:val="720"/>
  <w:characterSpacingControl w:val="doNotCompress"/>
  <w:footnotePr>
    <w:footnote w:id="-1"/>
    <w:footnote w:id="0"/>
  </w:footnotePr>
  <w:endnotePr>
    <w:endnote w:id="-1"/>
    <w:endnote w:id="0"/>
  </w:endnotePr>
  <w:compat/>
  <w:rsids>
    <w:rsidRoot w:val="001B759C"/>
    <w:rsid w:val="0000149F"/>
    <w:rsid w:val="000208E8"/>
    <w:rsid w:val="00024645"/>
    <w:rsid w:val="00050EC1"/>
    <w:rsid w:val="00052844"/>
    <w:rsid w:val="00054BAE"/>
    <w:rsid w:val="00064C29"/>
    <w:rsid w:val="00082DF7"/>
    <w:rsid w:val="00084F32"/>
    <w:rsid w:val="00086DEC"/>
    <w:rsid w:val="000901BA"/>
    <w:rsid w:val="000B371F"/>
    <w:rsid w:val="00102DE8"/>
    <w:rsid w:val="0012019B"/>
    <w:rsid w:val="001313A2"/>
    <w:rsid w:val="00137547"/>
    <w:rsid w:val="00151810"/>
    <w:rsid w:val="001818BD"/>
    <w:rsid w:val="0019433D"/>
    <w:rsid w:val="001B5D50"/>
    <w:rsid w:val="001B759C"/>
    <w:rsid w:val="001E00E5"/>
    <w:rsid w:val="001F2A42"/>
    <w:rsid w:val="001F2AC4"/>
    <w:rsid w:val="001F5C4F"/>
    <w:rsid w:val="00200A31"/>
    <w:rsid w:val="00225AB2"/>
    <w:rsid w:val="00281131"/>
    <w:rsid w:val="0028327C"/>
    <w:rsid w:val="002A6ACF"/>
    <w:rsid w:val="002B280F"/>
    <w:rsid w:val="002C1ABC"/>
    <w:rsid w:val="002C4A8E"/>
    <w:rsid w:val="002C5951"/>
    <w:rsid w:val="002F690E"/>
    <w:rsid w:val="002F7082"/>
    <w:rsid w:val="002F753F"/>
    <w:rsid w:val="00320DA1"/>
    <w:rsid w:val="00343D5F"/>
    <w:rsid w:val="00356EDA"/>
    <w:rsid w:val="00367AAD"/>
    <w:rsid w:val="00370B73"/>
    <w:rsid w:val="00376BB2"/>
    <w:rsid w:val="00392B66"/>
    <w:rsid w:val="003A1B54"/>
    <w:rsid w:val="003A7653"/>
    <w:rsid w:val="003C74BC"/>
    <w:rsid w:val="003D3E4F"/>
    <w:rsid w:val="003E4A09"/>
    <w:rsid w:val="00435CCB"/>
    <w:rsid w:val="00437A7E"/>
    <w:rsid w:val="00445071"/>
    <w:rsid w:val="00446D83"/>
    <w:rsid w:val="00456BB5"/>
    <w:rsid w:val="00462FD0"/>
    <w:rsid w:val="004672EB"/>
    <w:rsid w:val="00470905"/>
    <w:rsid w:val="004863ED"/>
    <w:rsid w:val="00494328"/>
    <w:rsid w:val="004A40AF"/>
    <w:rsid w:val="004A43C0"/>
    <w:rsid w:val="004A70DB"/>
    <w:rsid w:val="004B01B1"/>
    <w:rsid w:val="004B1B93"/>
    <w:rsid w:val="004C7C82"/>
    <w:rsid w:val="004D29BF"/>
    <w:rsid w:val="004F4DC1"/>
    <w:rsid w:val="005104B6"/>
    <w:rsid w:val="00527B7D"/>
    <w:rsid w:val="005473FA"/>
    <w:rsid w:val="0055094D"/>
    <w:rsid w:val="005A6821"/>
    <w:rsid w:val="005F3DB4"/>
    <w:rsid w:val="00602A1F"/>
    <w:rsid w:val="00610D5B"/>
    <w:rsid w:val="00611339"/>
    <w:rsid w:val="00616B18"/>
    <w:rsid w:val="00625FE9"/>
    <w:rsid w:val="0066333A"/>
    <w:rsid w:val="006A4564"/>
    <w:rsid w:val="006A7B85"/>
    <w:rsid w:val="006C0F9B"/>
    <w:rsid w:val="006F4578"/>
    <w:rsid w:val="006F6EDA"/>
    <w:rsid w:val="007077EC"/>
    <w:rsid w:val="00727F04"/>
    <w:rsid w:val="007305BD"/>
    <w:rsid w:val="007603DA"/>
    <w:rsid w:val="007A5CEC"/>
    <w:rsid w:val="007C4EE5"/>
    <w:rsid w:val="007D7BDA"/>
    <w:rsid w:val="007E5BFC"/>
    <w:rsid w:val="007E64B1"/>
    <w:rsid w:val="007E6B64"/>
    <w:rsid w:val="007F42BD"/>
    <w:rsid w:val="008015E4"/>
    <w:rsid w:val="00815A02"/>
    <w:rsid w:val="0083169D"/>
    <w:rsid w:val="008709B7"/>
    <w:rsid w:val="00871B4B"/>
    <w:rsid w:val="0088225B"/>
    <w:rsid w:val="00895297"/>
    <w:rsid w:val="008B03BB"/>
    <w:rsid w:val="008C079B"/>
    <w:rsid w:val="008C3ACC"/>
    <w:rsid w:val="008C58A5"/>
    <w:rsid w:val="008D1F8B"/>
    <w:rsid w:val="008D2FDF"/>
    <w:rsid w:val="00916663"/>
    <w:rsid w:val="009411ED"/>
    <w:rsid w:val="00973A0B"/>
    <w:rsid w:val="00974616"/>
    <w:rsid w:val="00980CCF"/>
    <w:rsid w:val="00982980"/>
    <w:rsid w:val="00990E3C"/>
    <w:rsid w:val="009A6B47"/>
    <w:rsid w:val="009A7770"/>
    <w:rsid w:val="009E477C"/>
    <w:rsid w:val="009E4A6D"/>
    <w:rsid w:val="009E4D2F"/>
    <w:rsid w:val="009F2309"/>
    <w:rsid w:val="00A04B69"/>
    <w:rsid w:val="00A103BF"/>
    <w:rsid w:val="00A12952"/>
    <w:rsid w:val="00A16E92"/>
    <w:rsid w:val="00A22338"/>
    <w:rsid w:val="00A27548"/>
    <w:rsid w:val="00A44523"/>
    <w:rsid w:val="00A555F4"/>
    <w:rsid w:val="00A5579F"/>
    <w:rsid w:val="00A64E9E"/>
    <w:rsid w:val="00A76ECE"/>
    <w:rsid w:val="00AA2A9A"/>
    <w:rsid w:val="00AB2F25"/>
    <w:rsid w:val="00AE01A4"/>
    <w:rsid w:val="00AE7042"/>
    <w:rsid w:val="00AF1779"/>
    <w:rsid w:val="00B07CDB"/>
    <w:rsid w:val="00B13F84"/>
    <w:rsid w:val="00B73131"/>
    <w:rsid w:val="00B83285"/>
    <w:rsid w:val="00B83309"/>
    <w:rsid w:val="00B8459F"/>
    <w:rsid w:val="00BB4547"/>
    <w:rsid w:val="00BD10A4"/>
    <w:rsid w:val="00C20B3F"/>
    <w:rsid w:val="00C27CA0"/>
    <w:rsid w:val="00C35412"/>
    <w:rsid w:val="00C725B1"/>
    <w:rsid w:val="00C82765"/>
    <w:rsid w:val="00C84EEC"/>
    <w:rsid w:val="00C96629"/>
    <w:rsid w:val="00C9777B"/>
    <w:rsid w:val="00CC31C8"/>
    <w:rsid w:val="00CD0A3C"/>
    <w:rsid w:val="00CD411E"/>
    <w:rsid w:val="00CE678C"/>
    <w:rsid w:val="00CF4F74"/>
    <w:rsid w:val="00D03344"/>
    <w:rsid w:val="00D37339"/>
    <w:rsid w:val="00D37D18"/>
    <w:rsid w:val="00D549D7"/>
    <w:rsid w:val="00D61E41"/>
    <w:rsid w:val="00DC023D"/>
    <w:rsid w:val="00DD5D12"/>
    <w:rsid w:val="00DD6F69"/>
    <w:rsid w:val="00DF3B6B"/>
    <w:rsid w:val="00E02384"/>
    <w:rsid w:val="00E04F1C"/>
    <w:rsid w:val="00E13A07"/>
    <w:rsid w:val="00E37EB7"/>
    <w:rsid w:val="00E422F2"/>
    <w:rsid w:val="00E54A97"/>
    <w:rsid w:val="00E93A7C"/>
    <w:rsid w:val="00E94818"/>
    <w:rsid w:val="00EA7641"/>
    <w:rsid w:val="00EA76BA"/>
    <w:rsid w:val="00EB2626"/>
    <w:rsid w:val="00ED6339"/>
    <w:rsid w:val="00ED7E68"/>
    <w:rsid w:val="00EE555D"/>
    <w:rsid w:val="00EF5E6C"/>
    <w:rsid w:val="00F025C8"/>
    <w:rsid w:val="00F1483E"/>
    <w:rsid w:val="00F37F19"/>
    <w:rsid w:val="00F51CAE"/>
    <w:rsid w:val="00F66319"/>
    <w:rsid w:val="00F85F1A"/>
    <w:rsid w:val="00F9366D"/>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hAnsi="Arial"/>
      <w:lang w:val="en-US" w:eastAsia="en-US"/>
    </w:rPr>
  </w:style>
  <w:style w:type="paragraph" w:styleId="Heading1">
    <w:name w:val="heading 1"/>
    <w:basedOn w:val="Normal"/>
    <w:next w:val="Normal"/>
    <w:autoRedefine/>
    <w:qFormat/>
    <w:rsid w:val="00BB4547"/>
    <w:pPr>
      <w:pBdr>
        <w:bottom w:val="single" w:sz="4" w:space="1" w:color="auto"/>
      </w:pBdr>
      <w:tabs>
        <w:tab w:val="left" w:pos="180"/>
      </w:tabs>
      <w:spacing w:line="320" w:lineRule="atLeast"/>
      <w:jc w:val="both"/>
      <w:outlineLvl w:val="0"/>
    </w:pPr>
    <w:rPr>
      <w:rFonts w:ascii="Helvetica Narrow" w:hAnsi="Helvetica Narrow"/>
      <w:b/>
      <w:bCs/>
      <w:sz w:val="28"/>
      <w:szCs w:val="32"/>
      <w:lang w:val="en-AU"/>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1B759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le1">
    <w:name w:val="title1"/>
    <w:rsid w:val="008C3ACC"/>
    <w:rPr>
      <w:rFonts w:ascii="Verdana" w:hAnsi="Verdana" w:hint="default"/>
      <w:b/>
      <w:bCs/>
      <w:color w:val="000000"/>
      <w:sz w:val="15"/>
      <w:szCs w:val="15"/>
    </w:rPr>
  </w:style>
  <w:style w:type="character" w:styleId="Hyperlink">
    <w:name w:val="Hyperlink"/>
    <w:rsid w:val="0019433D"/>
    <w:rPr>
      <w:color w:val="0000FF"/>
      <w:u w:val="single"/>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liz@mcdougallvines.com.a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yperlink" Target="http://lifestyle.inquirer.net/artsandbooks/artsandbooks/view/20100524-271665/Philippine-Australian_cooperation_restores__Gabaldon-type_school_in_Camiguin" TargetMode="Externa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521</Words>
  <Characters>2970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ITINERARY</vt:lpstr>
    </vt:vector>
  </TitlesOfParts>
  <Company/>
  <LinksUpToDate>false</LinksUpToDate>
  <CharactersWithSpaces>3485</CharactersWithSpaces>
  <SharedDoc>false</SharedDoc>
  <HLinks>
    <vt:vector size="12" baseType="variant">
      <vt:variant>
        <vt:i4>1245280</vt:i4>
      </vt:variant>
      <vt:variant>
        <vt:i4>3</vt:i4>
      </vt:variant>
      <vt:variant>
        <vt:i4>0</vt:i4>
      </vt:variant>
      <vt:variant>
        <vt:i4>5</vt:i4>
      </vt:variant>
      <vt:variant>
        <vt:lpwstr>mailto:liz@mcdougallvines.com.au</vt:lpwstr>
      </vt:variant>
      <vt:variant>
        <vt:lpwstr/>
      </vt:variant>
      <vt:variant>
        <vt:i4>2031721</vt:i4>
      </vt:variant>
      <vt:variant>
        <vt:i4>0</vt:i4>
      </vt:variant>
      <vt:variant>
        <vt:i4>0</vt:i4>
      </vt:variant>
      <vt:variant>
        <vt:i4>5</vt:i4>
      </vt:variant>
      <vt:variant>
        <vt:lpwstr>http://lifestyle.inquirer.net/artsandbooks/artsandbooks/view/20100524-271665/Philippine-Australian_cooperation_restores__Gabaldon-type_school_in_Camiguin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ITINERARY</dc:title>
  <dc:subject/>
  <dc:creator>Bruce D</dc:creator>
  <cp:keywords/>
  <cp:lastModifiedBy>gmeros</cp:lastModifiedBy>
  <cp:revision>2</cp:revision>
  <cp:lastPrinted>2010-02-12T06:39:00Z</cp:lastPrinted>
  <dcterms:created xsi:type="dcterms:W3CDTF">2011-11-10T01:15:00Z</dcterms:created>
  <dcterms:modified xsi:type="dcterms:W3CDTF">2011-11-10T01:15:00Z</dcterms:modified>
</cp:coreProperties>
</file>